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CE2580" w14:textId="7C55FC16" w:rsidR="007D68E3" w:rsidRPr="001A548B" w:rsidRDefault="00E743E0" w:rsidP="001A548B">
      <w:pPr>
        <w:spacing w:line="480" w:lineRule="auto"/>
        <w:jc w:val="center"/>
        <w:rPr>
          <w:rFonts w:ascii="Times New Roman" w:hAnsi="Times New Roman" w:cs="Times New Roman"/>
          <w:b/>
          <w:bCs/>
          <w:color w:val="000000" w:themeColor="text1"/>
          <w:sz w:val="36"/>
          <w:szCs w:val="36"/>
        </w:rPr>
      </w:pPr>
      <w:r w:rsidRPr="001A548B">
        <w:rPr>
          <w:rFonts w:ascii="Times New Roman" w:hAnsi="Times New Roman" w:cs="Times New Roman"/>
          <w:b/>
          <w:bCs/>
          <w:color w:val="000000" w:themeColor="text1"/>
          <w:sz w:val="36"/>
          <w:szCs w:val="36"/>
        </w:rPr>
        <w:t>Servant Voices and Patriarchal Power</w:t>
      </w:r>
      <w:r w:rsidR="00D00F1F">
        <w:rPr>
          <w:rFonts w:ascii="Times New Roman" w:hAnsi="Times New Roman" w:cs="Times New Roman"/>
          <w:b/>
          <w:bCs/>
          <w:color w:val="000000" w:themeColor="text1"/>
          <w:sz w:val="36"/>
          <w:szCs w:val="36"/>
        </w:rPr>
        <w:t>,</w:t>
      </w:r>
      <w:r w:rsidRPr="001A548B">
        <w:rPr>
          <w:rFonts w:ascii="Times New Roman" w:hAnsi="Times New Roman" w:cs="Times New Roman"/>
          <w:b/>
          <w:bCs/>
          <w:color w:val="000000" w:themeColor="text1"/>
          <w:sz w:val="36"/>
          <w:szCs w:val="36"/>
        </w:rPr>
        <w:t xml:space="preserve"> Transitivity Choices in African Domestic Narratives</w:t>
      </w:r>
      <w:r w:rsidR="00E01EA8" w:rsidRPr="001A548B">
        <w:rPr>
          <w:rFonts w:ascii="Times New Roman" w:hAnsi="Times New Roman" w:cs="Times New Roman"/>
          <w:b/>
          <w:bCs/>
          <w:color w:val="000000" w:themeColor="text1"/>
          <w:sz w:val="36"/>
          <w:szCs w:val="36"/>
        </w:rPr>
        <w:t xml:space="preserve"> in “Rehema the House </w:t>
      </w:r>
      <w:r w:rsidR="001A548B">
        <w:rPr>
          <w:rFonts w:ascii="Times New Roman" w:hAnsi="Times New Roman" w:cs="Times New Roman"/>
          <w:b/>
          <w:bCs/>
          <w:color w:val="000000" w:themeColor="text1"/>
          <w:sz w:val="36"/>
          <w:szCs w:val="36"/>
        </w:rPr>
        <w:t>Girl</w:t>
      </w:r>
      <w:r w:rsidR="00E01EA8" w:rsidRPr="001A548B">
        <w:rPr>
          <w:rFonts w:ascii="Times New Roman" w:hAnsi="Times New Roman" w:cs="Times New Roman"/>
          <w:b/>
          <w:bCs/>
          <w:color w:val="000000" w:themeColor="text1"/>
          <w:sz w:val="36"/>
          <w:szCs w:val="36"/>
        </w:rPr>
        <w:t>”</w:t>
      </w:r>
    </w:p>
    <w:p w14:paraId="3F7B8A10" w14:textId="77777777" w:rsidR="00004A01" w:rsidRDefault="00004A01" w:rsidP="001A548B">
      <w:pPr>
        <w:spacing w:after="0" w:line="480" w:lineRule="auto"/>
        <w:jc w:val="both"/>
        <w:rPr>
          <w:rFonts w:ascii="Times New Roman" w:eastAsia="Times New Roman" w:hAnsi="Times New Roman" w:cs="Times New Roman"/>
          <w:b/>
          <w:bCs/>
          <w:color w:val="000000" w:themeColor="text1"/>
          <w:kern w:val="0"/>
          <w14:ligatures w14:val="none"/>
        </w:rPr>
      </w:pPr>
      <w:bookmarkStart w:id="0" w:name="_GoBack"/>
      <w:bookmarkEnd w:id="0"/>
    </w:p>
    <w:p w14:paraId="0CD0A0D0" w14:textId="086FAE3A" w:rsidR="00E743E0" w:rsidRPr="001A548B" w:rsidRDefault="0087793C" w:rsidP="001A548B">
      <w:pPr>
        <w:spacing w:after="0" w:line="480" w:lineRule="auto"/>
        <w:jc w:val="both"/>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b/>
          <w:bCs/>
          <w:color w:val="000000" w:themeColor="text1"/>
          <w:kern w:val="0"/>
          <w14:ligatures w14:val="none"/>
        </w:rPr>
        <w:t>Abstract</w:t>
      </w:r>
    </w:p>
    <w:p w14:paraId="02A79D7E" w14:textId="2C452D86" w:rsidR="003602B1" w:rsidRPr="001A548B" w:rsidRDefault="003602B1" w:rsidP="001A548B">
      <w:pPr>
        <w:spacing w:after="0" w:line="480" w:lineRule="auto"/>
        <w:jc w:val="both"/>
        <w:rPr>
          <w:rFonts w:ascii="Times New Roman" w:hAnsi="Times New Roman" w:cs="Times New Roman"/>
          <w:color w:val="000000" w:themeColor="text1"/>
        </w:rPr>
      </w:pPr>
      <w:r w:rsidRPr="001A548B">
        <w:rPr>
          <w:rFonts w:ascii="Times New Roman" w:hAnsi="Times New Roman" w:cs="Times New Roman"/>
          <w:color w:val="000000" w:themeColor="text1"/>
        </w:rPr>
        <w:t xml:space="preserve">This paper examines characterisation and ideological positioning in </w:t>
      </w:r>
      <w:r w:rsidRPr="001A548B">
        <w:rPr>
          <w:rFonts w:ascii="Times New Roman" w:hAnsi="Times New Roman" w:cs="Times New Roman"/>
          <w:i/>
          <w:iCs/>
          <w:color w:val="000000" w:themeColor="text1"/>
        </w:rPr>
        <w:t>Rehema, the House girl,</w:t>
      </w:r>
      <w:r w:rsidRPr="001A548B">
        <w:rPr>
          <w:rFonts w:ascii="Times New Roman" w:hAnsi="Times New Roman" w:cs="Times New Roman"/>
          <w:color w:val="000000" w:themeColor="text1"/>
        </w:rPr>
        <w:t xml:space="preserve"> using Halliday’s transitivity theory.  It considers how different process types – physical, behavioural, verbal, relative and existential – encode agent, voice and social roles. A mixed-method approach was employed. Text was read more than once in order to get the full story, sentences were broken up and entered into an Excel file, and clauses were coded for transitivity type. Distributions were then determined by frequency calculations. Results demonstrate a primacy of behavioural (57%) over material (19%), verbal (11%) and mental (10%) processes, with relational (3%) and existential (0%) processes being less common. These patterns in the text emphasize behavior over description or existence. Cross-character scrutiny reveals subaltern labour in the person of Asha, authority with Mr Mhina and Father authority as agent of, and the law being supported by Mother. The main heroine, Rehema, is depicted via a series of cognitive, verbal and behavioural transformational processes, which have the effect of gradually unsettling her taken-for-granted employee status and driving home her humanity and agency. The study illustrates how transitivity structures depict agency, emotion and power, which makes them a valuable tool for making sense of narrative style.  </w:t>
      </w:r>
    </w:p>
    <w:p w14:paraId="1AA16C6A" w14:textId="77777777" w:rsidR="003602B1" w:rsidRPr="001A548B" w:rsidRDefault="003602B1" w:rsidP="001A548B">
      <w:pPr>
        <w:spacing w:after="0" w:line="480" w:lineRule="auto"/>
        <w:jc w:val="both"/>
        <w:rPr>
          <w:rFonts w:ascii="Times New Roman" w:hAnsi="Times New Roman" w:cs="Times New Roman"/>
          <w:color w:val="000000" w:themeColor="text1"/>
        </w:rPr>
      </w:pPr>
    </w:p>
    <w:p w14:paraId="051D41DD" w14:textId="73518D2A" w:rsidR="0087793C" w:rsidRPr="001A548B" w:rsidRDefault="0087793C" w:rsidP="001A548B">
      <w:pPr>
        <w:spacing w:after="0" w:line="480" w:lineRule="auto"/>
        <w:jc w:val="both"/>
        <w:rPr>
          <w:rFonts w:ascii="Times New Roman" w:hAnsi="Times New Roman" w:cs="Times New Roman"/>
          <w:color w:val="000000" w:themeColor="text1"/>
        </w:rPr>
      </w:pPr>
      <w:r w:rsidRPr="001A548B">
        <w:rPr>
          <w:rStyle w:val="Strong"/>
          <w:rFonts w:ascii="Times New Roman" w:hAnsi="Times New Roman" w:cs="Times New Roman"/>
          <w:color w:val="000000" w:themeColor="text1"/>
        </w:rPr>
        <w:t>Keywords:</w:t>
      </w:r>
      <w:r w:rsidRPr="001A548B">
        <w:rPr>
          <w:rFonts w:ascii="Times New Roman" w:hAnsi="Times New Roman" w:cs="Times New Roman"/>
          <w:color w:val="000000" w:themeColor="text1"/>
        </w:rPr>
        <w:t xml:space="preserve"> Transitivity, Systemic Functional Linguistics, Characterisation, Agency, African Fiction, Narrative Ideology</w:t>
      </w:r>
    </w:p>
    <w:p w14:paraId="788A7AAE" w14:textId="77777777" w:rsidR="0087793C" w:rsidRPr="001A548B" w:rsidRDefault="0087793C" w:rsidP="001A548B">
      <w:pPr>
        <w:spacing w:after="0" w:line="480" w:lineRule="auto"/>
        <w:jc w:val="both"/>
        <w:rPr>
          <w:rFonts w:ascii="Times New Roman" w:eastAsia="Times New Roman" w:hAnsi="Times New Roman" w:cs="Times New Roman"/>
          <w:b/>
          <w:bCs/>
          <w:color w:val="000000" w:themeColor="text1"/>
          <w:kern w:val="0"/>
          <w14:ligatures w14:val="none"/>
        </w:rPr>
      </w:pPr>
    </w:p>
    <w:p w14:paraId="61EDD134" w14:textId="25F8D0E9" w:rsidR="004D289A" w:rsidRPr="001A548B" w:rsidRDefault="004D289A" w:rsidP="001A548B">
      <w:pPr>
        <w:spacing w:after="0" w:line="480" w:lineRule="auto"/>
        <w:jc w:val="both"/>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b/>
          <w:bCs/>
          <w:color w:val="000000" w:themeColor="text1"/>
          <w:kern w:val="0"/>
          <w14:ligatures w14:val="none"/>
        </w:rPr>
        <w:t xml:space="preserve"> </w:t>
      </w:r>
      <w:r w:rsidR="001A548B">
        <w:rPr>
          <w:rFonts w:ascii="Times New Roman" w:eastAsia="Times New Roman" w:hAnsi="Times New Roman" w:cs="Times New Roman"/>
          <w:b/>
          <w:bCs/>
          <w:color w:val="000000" w:themeColor="text1"/>
          <w:kern w:val="0"/>
          <w14:ligatures w14:val="none"/>
        </w:rPr>
        <w:t>1.</w:t>
      </w:r>
      <w:r w:rsidRPr="001A548B">
        <w:rPr>
          <w:rFonts w:ascii="Times New Roman" w:eastAsia="Times New Roman" w:hAnsi="Times New Roman" w:cs="Times New Roman"/>
          <w:b/>
          <w:bCs/>
          <w:color w:val="000000" w:themeColor="text1"/>
          <w:kern w:val="0"/>
          <w14:ligatures w14:val="none"/>
        </w:rPr>
        <w:t>Introduction</w:t>
      </w:r>
    </w:p>
    <w:p w14:paraId="697953EC" w14:textId="6794D569"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Language is both a means of communication and a setting for the portrayal and positioning of characters with ideological roles and significance within literary texts. According to Halliday’s (2004) Systemic Functional Linguistics (SFL), the transitivity system constitutes the heart of the ideational metafunction, or the function that describes experiences, actions, perceptions, and relations, which in turn are encoded in language. In the various types of processes—material, mental, relational, verbal, behavioural, and existential—writers develop characters’ subjectivity, their capacity to act and their take on the world. In this respect, transitivity has emerged as a key analytical instrument in stylistics, which can be employed to illustrate how characters are discursively actualised and how power relations are inscribed in narrative form (Simpson, 2004; Toolan, 2016).</w:t>
      </w:r>
    </w:p>
    <w:p w14:paraId="6E9563AA" w14:textId="7634DE03"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Several examples also show the relevance in characterisation. For example, Jeffries (2010) and Simpson (2014) maintain that material processes frequently cast characters in a role of agents of action, whereas mental processes index inner worlds, emotions and mental depth. Relational and existential processes often foreground status, identity, or thematic sense of being and existence, while verbal and behavioural processes index interpersonal relations and embodied action (Halliday &amp; Matthiessen, 2014). Material applications of this model are found in the study of Shakespearean drama (Fowler, 1996), in the analysis of the modern novel (Baker, 2018), and in African fiction; for instance, Nnodim (2016) and Kanneh (2020) argue that the choices made in transitivity are central to the construction of gender roles, moral conflict and colonial encounters.</w:t>
      </w:r>
    </w:p>
    <w:p w14:paraId="294F7602" w14:textId="522F95FE"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Worldwide, researchers have studied the impact of transitivity patterns on narrative meaning and characterisation. Landa (2017), for example, contrasted process types in the short fiction of Edgar Allan </w:t>
      </w:r>
      <w:r w:rsidRPr="001A548B">
        <w:rPr>
          <w:rFonts w:ascii="Times New Roman" w:eastAsia="Times New Roman" w:hAnsi="Times New Roman" w:cs="Times New Roman"/>
          <w:i/>
          <w:iCs/>
          <w:color w:val="000000" w:themeColor="text1"/>
          <w:kern w:val="0"/>
          <w14:ligatures w14:val="none"/>
        </w:rPr>
        <w:t>Poe</w:t>
      </w:r>
      <w:r w:rsidRPr="001A548B">
        <w:rPr>
          <w:rFonts w:ascii="Times New Roman" w:eastAsia="Times New Roman" w:hAnsi="Times New Roman" w:cs="Times New Roman"/>
          <w:color w:val="000000" w:themeColor="text1"/>
          <w:kern w:val="0"/>
          <w14:ligatures w14:val="none"/>
        </w:rPr>
        <w:t xml:space="preserve">, examining the interrelation between transitivity and the creation of gothic atmosphere and psychological realism. Luo (2022) likewise illustrates how transitivity in H. G. Wells’ </w:t>
      </w:r>
      <w:r w:rsidRPr="001A548B">
        <w:rPr>
          <w:rFonts w:ascii="Times New Roman" w:eastAsia="Times New Roman" w:hAnsi="Times New Roman" w:cs="Times New Roman"/>
          <w:i/>
          <w:iCs/>
          <w:color w:val="000000" w:themeColor="text1"/>
          <w:kern w:val="0"/>
          <w14:ligatures w14:val="none"/>
        </w:rPr>
        <w:t>The Time Machine</w:t>
      </w:r>
      <w:r w:rsidRPr="001A548B">
        <w:rPr>
          <w:rFonts w:ascii="Times New Roman" w:eastAsia="Times New Roman" w:hAnsi="Times New Roman" w:cs="Times New Roman"/>
          <w:color w:val="000000" w:themeColor="text1"/>
          <w:kern w:val="0"/>
          <w14:ligatures w14:val="none"/>
        </w:rPr>
        <w:t xml:space="preserve"> foregrounds themes of temporality and human agency in science fiction. At the instructional level, Budi, Rahmawati, and Rini (2024) examined Grade 9 students’ narrative writings in Indonesia and identified that the learners overused material processes and underused the mental and relational categories. A similar finding was reported by Zein, Sinar, Nurlela, and Yusuf (2019) among English department students, indicating that restricted variation of process types might be a mirror of both language proficiency and narrative style. Used together, these analyses confirm transitivity's affability in respect to text, its meaning, the structure of narratives, and stylistic effects.</w:t>
      </w:r>
    </w:p>
    <w:p w14:paraId="686EFA13" w14:textId="036F12A3"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In African literary studies</w:t>
      </w:r>
      <w:r w:rsidR="0065032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the transitivity approach has been successfully used, especially to strip down social and political, cultural and gendered layers in narrative prose texts. Aliyu (2025) examined </w:t>
      </w:r>
      <w:r w:rsidRPr="001A548B">
        <w:rPr>
          <w:rFonts w:ascii="Times New Roman" w:eastAsia="Times New Roman" w:hAnsi="Times New Roman" w:cs="Times New Roman"/>
          <w:i/>
          <w:iCs/>
          <w:color w:val="000000" w:themeColor="text1"/>
          <w:kern w:val="0"/>
          <w14:ligatures w14:val="none"/>
        </w:rPr>
        <w:t>the Zikora</w:t>
      </w:r>
      <w:r w:rsidRPr="001A548B">
        <w:rPr>
          <w:rFonts w:ascii="Times New Roman" w:eastAsia="Times New Roman" w:hAnsi="Times New Roman" w:cs="Times New Roman"/>
          <w:color w:val="000000" w:themeColor="text1"/>
          <w:kern w:val="0"/>
          <w14:ligatures w14:val="none"/>
        </w:rPr>
        <w:t xml:space="preserve"> by Chimamanda Adichie and demonstrated how process types are used to uncover changing gender roles and women agency. Otugo and Akabuike (2025) applied the model to some Nigerian novels, and George and Okeke (2025) showed its application to the decoding of proverbial discourse in Odili Ujubuonu’s </w:t>
      </w:r>
      <w:r w:rsidRPr="001A548B">
        <w:rPr>
          <w:rFonts w:ascii="Times New Roman" w:eastAsia="Times New Roman" w:hAnsi="Times New Roman" w:cs="Times New Roman"/>
          <w:i/>
          <w:iCs/>
          <w:color w:val="000000" w:themeColor="text1"/>
          <w:kern w:val="0"/>
          <w14:ligatures w14:val="none"/>
        </w:rPr>
        <w:t>Pregnancy of the Gods</w:t>
      </w:r>
      <w:r w:rsidRPr="001A548B">
        <w:rPr>
          <w:rFonts w:ascii="Times New Roman" w:eastAsia="Times New Roman" w:hAnsi="Times New Roman" w:cs="Times New Roman"/>
          <w:color w:val="000000" w:themeColor="text1"/>
          <w:kern w:val="0"/>
          <w14:ligatures w14:val="none"/>
        </w:rPr>
        <w:t xml:space="preserve">. Earlier, Boukari and Koussouhon (2018) demonstrated that African world view and identity are projected on the transitivity patterns embedded in Gabriel Okara’s </w:t>
      </w:r>
      <w:r w:rsidRPr="001A548B">
        <w:rPr>
          <w:rFonts w:ascii="Times New Roman" w:eastAsia="Times New Roman" w:hAnsi="Times New Roman" w:cs="Times New Roman"/>
          <w:i/>
          <w:iCs/>
          <w:color w:val="000000" w:themeColor="text1"/>
          <w:kern w:val="0"/>
          <w14:ligatures w14:val="none"/>
        </w:rPr>
        <w:t>The Voice</w:t>
      </w:r>
      <w:r w:rsidRPr="001A548B">
        <w:rPr>
          <w:rFonts w:ascii="Times New Roman" w:eastAsia="Times New Roman" w:hAnsi="Times New Roman" w:cs="Times New Roman"/>
          <w:color w:val="000000" w:themeColor="text1"/>
          <w:kern w:val="0"/>
          <w14:ligatures w14:val="none"/>
        </w:rPr>
        <w:t xml:space="preserve">. Yokossi and Koussouhon (2017) </w:t>
      </w:r>
      <w:r w:rsidR="0065032A" w:rsidRPr="001A548B">
        <w:rPr>
          <w:rFonts w:ascii="Times New Roman" w:eastAsia="Times New Roman" w:hAnsi="Times New Roman" w:cs="Times New Roman"/>
          <w:color w:val="000000" w:themeColor="text1"/>
          <w:kern w:val="0"/>
          <w14:ligatures w14:val="none"/>
        </w:rPr>
        <w:t>were</w:t>
      </w:r>
      <w:r w:rsidRPr="001A548B">
        <w:rPr>
          <w:rFonts w:ascii="Times New Roman" w:eastAsia="Times New Roman" w:hAnsi="Times New Roman" w:cs="Times New Roman"/>
          <w:color w:val="000000" w:themeColor="text1"/>
          <w:kern w:val="0"/>
          <w14:ligatures w14:val="none"/>
        </w:rPr>
        <w:t xml:space="preserve"> interested in Achebe’s </w:t>
      </w:r>
      <w:r w:rsidRPr="001A548B">
        <w:rPr>
          <w:rFonts w:ascii="Times New Roman" w:eastAsia="Times New Roman" w:hAnsi="Times New Roman" w:cs="Times New Roman"/>
          <w:i/>
          <w:iCs/>
          <w:color w:val="000000" w:themeColor="text1"/>
          <w:kern w:val="0"/>
          <w14:ligatures w14:val="none"/>
        </w:rPr>
        <w:t>Arrow of God</w:t>
      </w:r>
      <w:r w:rsidRPr="001A548B">
        <w:rPr>
          <w:rFonts w:ascii="Times New Roman" w:eastAsia="Times New Roman" w:hAnsi="Times New Roman" w:cs="Times New Roman"/>
          <w:color w:val="000000" w:themeColor="text1"/>
          <w:kern w:val="0"/>
          <w14:ligatures w14:val="none"/>
        </w:rPr>
        <w:t xml:space="preserve"> and Ngugi’s </w:t>
      </w:r>
      <w:r w:rsidRPr="001A548B">
        <w:rPr>
          <w:rFonts w:ascii="Times New Roman" w:eastAsia="Times New Roman" w:hAnsi="Times New Roman" w:cs="Times New Roman"/>
          <w:i/>
          <w:iCs/>
          <w:color w:val="000000" w:themeColor="text1"/>
          <w:kern w:val="0"/>
          <w14:ligatures w14:val="none"/>
        </w:rPr>
        <w:t>Petals of Blood</w:t>
      </w:r>
      <w:r w:rsidRPr="001A548B">
        <w:rPr>
          <w:rFonts w:ascii="Times New Roman" w:eastAsia="Times New Roman" w:hAnsi="Times New Roman" w:cs="Times New Roman"/>
          <w:color w:val="000000" w:themeColor="text1"/>
          <w:kern w:val="0"/>
          <w14:ligatures w14:val="none"/>
        </w:rPr>
        <w:t xml:space="preserve"> so as to show, how process distribution operates as post-colonial struggles. Shah, Hassan, &amp; Ullah (2025) recently revisited Achebe’s (1958) </w:t>
      </w:r>
      <w:r w:rsidRPr="001A548B">
        <w:rPr>
          <w:rFonts w:ascii="Times New Roman" w:eastAsia="Times New Roman" w:hAnsi="Times New Roman" w:cs="Times New Roman"/>
          <w:i/>
          <w:iCs/>
          <w:color w:val="000000" w:themeColor="text1"/>
          <w:kern w:val="0"/>
          <w14:ligatures w14:val="none"/>
        </w:rPr>
        <w:t>Things Fall Apart</w:t>
      </w:r>
      <w:r w:rsidRPr="001A548B">
        <w:rPr>
          <w:rFonts w:ascii="Times New Roman" w:eastAsia="Times New Roman" w:hAnsi="Times New Roman" w:cs="Times New Roman"/>
          <w:color w:val="000000" w:themeColor="text1"/>
          <w:kern w:val="0"/>
          <w14:ligatures w14:val="none"/>
        </w:rPr>
        <w:t xml:space="preserve"> in terms of transitivity, revealing how hybridity and </w:t>
      </w:r>
      <w:r w:rsidRPr="001A548B">
        <w:rPr>
          <w:rFonts w:ascii="Times New Roman" w:eastAsia="Times New Roman" w:hAnsi="Times New Roman" w:cs="Times New Roman"/>
          <w:color w:val="000000" w:themeColor="text1"/>
          <w:kern w:val="0"/>
          <w14:ligatures w14:val="none"/>
        </w:rPr>
        <w:lastRenderedPageBreak/>
        <w:t xml:space="preserve">conflicts among cultures are present in the linguistic features. It is also worth noting that Tanzanian scholarship has shown interest in both transitivity and discourse analysis. Msuya (2014) investigated verbal processes in Peter Abrahams’ </w:t>
      </w:r>
      <w:r w:rsidRPr="001A548B">
        <w:rPr>
          <w:rFonts w:ascii="Times New Roman" w:eastAsia="Times New Roman" w:hAnsi="Times New Roman" w:cs="Times New Roman"/>
          <w:i/>
          <w:iCs/>
          <w:color w:val="000000" w:themeColor="text1"/>
          <w:kern w:val="0"/>
          <w14:ligatures w14:val="none"/>
        </w:rPr>
        <w:t>Mine Boy</w:t>
      </w:r>
      <w:r w:rsidRPr="001A548B">
        <w:rPr>
          <w:rFonts w:ascii="Times New Roman" w:eastAsia="Times New Roman" w:hAnsi="Times New Roman" w:cs="Times New Roman"/>
          <w:color w:val="000000" w:themeColor="text1"/>
          <w:kern w:val="0"/>
          <w14:ligatures w14:val="none"/>
        </w:rPr>
        <w:t xml:space="preserve"> and how transitivity profiles serve to characterise Xuma and Leah. Mulila-Matei (2014) used SFL to analyze gender identity in Wamitila’s </w:t>
      </w:r>
      <w:r w:rsidRPr="001A548B">
        <w:rPr>
          <w:rFonts w:ascii="Times New Roman" w:eastAsia="Times New Roman" w:hAnsi="Times New Roman" w:cs="Times New Roman"/>
          <w:i/>
          <w:iCs/>
          <w:color w:val="000000" w:themeColor="text1"/>
          <w:kern w:val="0"/>
          <w14:ligatures w14:val="none"/>
        </w:rPr>
        <w:t>Unaitwa Nani</w:t>
      </w:r>
      <w:r w:rsidRPr="001A548B">
        <w:rPr>
          <w:rFonts w:ascii="Times New Roman" w:eastAsia="Times New Roman" w:hAnsi="Times New Roman" w:cs="Times New Roman"/>
          <w:color w:val="000000" w:themeColor="text1"/>
          <w:kern w:val="0"/>
          <w14:ligatures w14:val="none"/>
        </w:rPr>
        <w:t>? It was a piece about how discourse and grammar structure power. Pioneering works like Russell &amp; Rajabu (1995) and Tchokothe (2014) reflect increasing attention to Swahili narrative technique, code and violation. These African and Tanzanian viewpoints confirm the cultural and ideational role of the transitivity in the literary language.</w:t>
      </w:r>
    </w:p>
    <w:p w14:paraId="047C9275" w14:textId="0CA4A5DB"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Despite this increasing scholarship, there is a notable lack of transitivity analysis of contemporary literary works, especially the type that foreground gender relations and women’s agency. A great deal of research in the field has focused on canonical Western texts or general discourse domains, such as political speeches, media discourse and educational context (Eggins, 2004</w:t>
      </w:r>
      <w:r w:rsidR="0065032A"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Alghamdi, 2022). Even in African stylistics, while much work has had to do with thematic or ideological readings, there has not been systematic analysis of how, for instance, the aspect of language, say, transitivity, is the brick wall behind an image of woman’s experience. Thus, characters like Rehema, Mama Mhina, and Asha who, in action, in thought, and in the way they speak, are so entwined in sociocultural conflict are not critically examined from this perspective.</w:t>
      </w:r>
    </w:p>
    <w:p w14:paraId="671F1457" w14:textId="77777777"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This research fills this lacuna, quantitatively and qualitatively exploring different process types in characters and associating them with their frequencies with dialogical framing, thus suggesting their implications using Halliday’s work. In so doing, the analysis exposes the manner in which female personae are linguistically produced while at the same time adding to the discourse on gender, discourse, and agency in African literary traditions. Such a focus would </w:t>
      </w:r>
      <w:r w:rsidRPr="001A548B">
        <w:rPr>
          <w:rFonts w:ascii="Times New Roman" w:eastAsia="Times New Roman" w:hAnsi="Times New Roman" w:cs="Times New Roman"/>
          <w:color w:val="000000" w:themeColor="text1"/>
          <w:kern w:val="0"/>
          <w14:ligatures w14:val="none"/>
        </w:rPr>
        <w:lastRenderedPageBreak/>
        <w:t>be particularly timely, as there is currently a surge of interest within pragmatics and stylistics to move beyond thematic criticism into empirical linguistic representation (Jeffries &amp; McIntyre, 2010; Mahlberg, 2013).</w:t>
      </w:r>
    </w:p>
    <w:p w14:paraId="3613417A" w14:textId="4912AC03" w:rsidR="00193A26" w:rsidRPr="001A548B" w:rsidRDefault="001A548B" w:rsidP="001A548B">
      <w:pPr>
        <w:spacing w:before="100" w:beforeAutospacing="1" w:after="100" w:afterAutospacing="1" w:line="480" w:lineRule="auto"/>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2. </w:t>
      </w:r>
      <w:r w:rsidR="00193A26" w:rsidRPr="001A548B">
        <w:rPr>
          <w:rFonts w:ascii="Times New Roman" w:eastAsia="Times New Roman" w:hAnsi="Times New Roman" w:cs="Times New Roman"/>
          <w:b/>
          <w:bCs/>
          <w:color w:val="000000" w:themeColor="text1"/>
          <w:kern w:val="0"/>
          <w14:ligatures w14:val="none"/>
        </w:rPr>
        <w:t>The Problem</w:t>
      </w:r>
    </w:p>
    <w:p w14:paraId="1BC3A456" w14:textId="172D8180"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It is not surprising that characterization is of primary concern in literary stylistics, since it determines readers' attitudes to fictional characters and their functions in the plot. In this respect, and particularly when a systemic perspective is adopted, there are few descriptions of how SFL, and in particular Halliday’s (1994; Halliday &amp; Matthiessen’s (2014) transitivity system, can be employed as a robust analytic framework to unveil the way language constitutes (Rickford, 1981) the experiences, actions and relations that are central to the construction of characters (Bloor &amp; Bloor, 2013). Using process types, participants, and circumstances, writers depict the characters not only as the doers and the undergoers but also as the thinkers, feelers, and speakers, so they construct complex identities and views (Eggins, 2004; Martin &amp; Rose, 2003).</w:t>
      </w:r>
    </w:p>
    <w:p w14:paraId="5CC5D435" w14:textId="27D52A04"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Stylistic studies have generally determined that the analysis of transitivity brings insight into linguistic choices, which in turn highlight features of personality, ideology and social relations (Simpson 2004, Toolan 2012). For example, Wang (2010) also showed that in Faulkner’s </w:t>
      </w:r>
      <w:r w:rsidRPr="001A548B">
        <w:rPr>
          <w:rFonts w:ascii="Times New Roman" w:eastAsia="Times New Roman" w:hAnsi="Times New Roman" w:cs="Times New Roman"/>
          <w:i/>
          <w:iCs/>
          <w:color w:val="000000" w:themeColor="text1"/>
          <w:kern w:val="0"/>
          <w14:ligatures w14:val="none"/>
        </w:rPr>
        <w:t>A Rose for Emily</w:t>
      </w:r>
      <w:r w:rsidRPr="001A548B">
        <w:rPr>
          <w:rFonts w:ascii="Times New Roman" w:eastAsia="Times New Roman" w:hAnsi="Times New Roman" w:cs="Times New Roman"/>
          <w:color w:val="000000" w:themeColor="text1"/>
          <w:kern w:val="0"/>
          <w14:ligatures w14:val="none"/>
        </w:rPr>
        <w:t xml:space="preserve">, material and relational processes are used to represent Emily’s isolation and disconnection from society, and Opara (2019), who examined Chimamanda Ngozi Adichie’s </w:t>
      </w:r>
      <w:r w:rsidRPr="001A548B">
        <w:rPr>
          <w:rFonts w:ascii="Times New Roman" w:eastAsia="Times New Roman" w:hAnsi="Times New Roman" w:cs="Times New Roman"/>
          <w:i/>
          <w:iCs/>
          <w:color w:val="000000" w:themeColor="text1"/>
          <w:kern w:val="0"/>
          <w14:ligatures w14:val="none"/>
        </w:rPr>
        <w:t>Americanah,</w:t>
      </w:r>
      <w:r w:rsidRPr="001A548B">
        <w:rPr>
          <w:rFonts w:ascii="Times New Roman" w:eastAsia="Times New Roman" w:hAnsi="Times New Roman" w:cs="Times New Roman"/>
          <w:color w:val="000000" w:themeColor="text1"/>
          <w:kern w:val="0"/>
          <w14:ligatures w14:val="none"/>
        </w:rPr>
        <w:t xml:space="preserve"> demonstrated that mental-verbal processes mirror ideological contradictions and identity conflicts. In addition to this, Zhang (2017) has shown how transitivity can also be employed to map movement between psychological and social positions of characters across </w:t>
      </w:r>
      <w:r w:rsidRPr="001A548B">
        <w:rPr>
          <w:rFonts w:ascii="Times New Roman" w:eastAsia="Times New Roman" w:hAnsi="Times New Roman" w:cs="Times New Roman"/>
          <w:color w:val="000000" w:themeColor="text1"/>
          <w:kern w:val="0"/>
          <w14:ligatures w14:val="none"/>
        </w:rPr>
        <w:lastRenderedPageBreak/>
        <w:t>different narrative structures. These studies underscore the importance of functional stylistics in connecting the micro-choices of language usage with the macro-occurrence of characterisation.</w:t>
      </w:r>
    </w:p>
    <w:p w14:paraId="2C6AD6D0" w14:textId="66B1389F"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Although there is a wealth of worldwide and African-based literature, the use of transitivity analysis on Tanzanian narratives remains negligible. However, researchers (e.g. Landa, 2017; Luo, 2022; Budi et al., 2024) provide examples of how the narrative meaning of transitivity is </w:t>
      </w:r>
      <w:r w:rsidR="00780C30" w:rsidRPr="001A548B">
        <w:rPr>
          <w:rFonts w:ascii="Times New Roman" w:eastAsia="Times New Roman" w:hAnsi="Times New Roman" w:cs="Times New Roman"/>
          <w:color w:val="000000" w:themeColor="text1"/>
          <w:kern w:val="0"/>
          <w14:ligatures w14:val="none"/>
        </w:rPr>
        <w:t>organised</w:t>
      </w:r>
      <w:r w:rsidRPr="001A548B">
        <w:rPr>
          <w:rFonts w:ascii="Times New Roman" w:eastAsia="Times New Roman" w:hAnsi="Times New Roman" w:cs="Times New Roman"/>
          <w:color w:val="000000" w:themeColor="text1"/>
          <w:kern w:val="0"/>
          <w14:ligatures w14:val="none"/>
        </w:rPr>
        <w:t xml:space="preserve"> in Western and Asian systems and Western and Asian literary traditions. African studies, such as Aliyu (2025), Boukari and Koussouhon (2018), and Shah et al. (2025), highlight the potential of transitivity to place identity, power, and hybridity at the forefront of the scene; however, their emphasis is mostly on the literature of West Africa. Tanzanian academia too is limited and scattered: Msuya (2014) focuses on verbal processes in </w:t>
      </w:r>
      <w:r w:rsidRPr="001A548B">
        <w:rPr>
          <w:rFonts w:ascii="Times New Roman" w:eastAsia="Times New Roman" w:hAnsi="Times New Roman" w:cs="Times New Roman"/>
          <w:i/>
          <w:iCs/>
          <w:color w:val="000000" w:themeColor="text1"/>
          <w:kern w:val="0"/>
          <w14:ligatures w14:val="none"/>
        </w:rPr>
        <w:t>Mine Boy</w:t>
      </w:r>
      <w:r w:rsidRPr="001A548B">
        <w:rPr>
          <w:rFonts w:ascii="Times New Roman" w:eastAsia="Times New Roman" w:hAnsi="Times New Roman" w:cs="Times New Roman"/>
          <w:color w:val="000000" w:themeColor="text1"/>
          <w:kern w:val="0"/>
          <w14:ligatures w14:val="none"/>
        </w:rPr>
        <w:t>, while Mulila-Matei (2014) analyses gender power relations in discourse, with both ignoring wider narrative and stylistic considerations. In addition to this, Russell and Rajabu (1995) and Tchokothe (2014) provide perspectives on Swahili stylistics, though not directly anchored in the theory of transitivity.</w:t>
      </w:r>
    </w:p>
    <w:p w14:paraId="19BFB013" w14:textId="77777777"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This discrepancy represents a distinct research need. Tanzanian fictional texts, varied in theme and in style, have been less addressed in relation to transitivity. Since the transitivity analysis can expose ‘how characters are constructed and how ideologies and narrative voice are encoded’ failure to use such an approach may lead to missing where the meaning is in Tanzanian and Swahili literature. The current research aims to address the lacuna in this respect by utilizing transitivity analysis to analyse sampled Tanzanian narratives, so as to add new knowledge to the global literature on SFL and to local studies on literary discourse in East Africa.</w:t>
      </w:r>
    </w:p>
    <w:p w14:paraId="47AED8BF" w14:textId="52C0C499" w:rsidR="005F5872" w:rsidRPr="001A548B" w:rsidRDefault="0027304C"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w:t>
      </w:r>
      <w:r w:rsidR="001A548B">
        <w:rPr>
          <w:rFonts w:ascii="Times New Roman" w:eastAsia="Times New Roman" w:hAnsi="Times New Roman" w:cs="Times New Roman"/>
          <w:color w:val="000000" w:themeColor="text1"/>
          <w:kern w:val="0"/>
          <w14:ligatures w14:val="none"/>
        </w:rPr>
        <w:t xml:space="preserve">3. </w:t>
      </w:r>
      <w:r w:rsidR="005F5872" w:rsidRPr="001A548B">
        <w:rPr>
          <w:rFonts w:ascii="Times New Roman" w:eastAsia="Times New Roman" w:hAnsi="Times New Roman" w:cs="Times New Roman"/>
          <w:b/>
          <w:bCs/>
          <w:color w:val="000000" w:themeColor="text1"/>
          <w:kern w:val="0"/>
          <w14:ligatures w14:val="none"/>
        </w:rPr>
        <w:t>Literature Review</w:t>
      </w:r>
    </w:p>
    <w:p w14:paraId="276049CC" w14:textId="45C82F9A"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Systemic Functional Linguistics (SFL), namely Halliday (1971, 1994), has been used as the theoretical framework for investigating relations between language and experience in the transitivity processes. Six primary types of process, namely material, mental, relational, verbal, behavioural and existential, are said to encode different aspects of meaning in terms of the model. Material processes build actions and events, and mental processes show perceptions and feelings. Relational processes construe identity and properties, and verbal processes denote communicative acts. Behavioural and existential occurrences, being fewer in number, are the movement/existence of things. Not only does this typology classify experience, it also serves as a useful device in character and discourse analysis (Eggins, 2004; Thompson, 2014).</w:t>
      </w:r>
    </w:p>
    <w:p w14:paraId="5DDCAB0F" w14:textId="2ED89A87"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It has long been established by scholars that transitivity has a significant role in characterisation as depicted in literature. Halliday’s (1971) reading of William Golding’s The Inheritors showed how movement among process types reflects characters’ cognitive constraints and the development of consciousness. As Simpson (2004) claims, characterised subjectivity foregrounds itself in patterned choices of process type. This view is also supported by more recent studies: Mahlberg and McIntyre (2011) demonstrate that transitivity foregrounds power relations in literary narratives, and Fang and Dong (2020) emphasise its function in the construction of fictional identities. In unevenly allocating action, thought, and speech among its dramatis personae, authors organise them into an ideological and social pecking order.</w:t>
      </w:r>
    </w:p>
    <w:p w14:paraId="6126E565" w14:textId="2F1BEB5F"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Transitivity analysis, as an increasingly researched instrument, is also correlated with agency and power representation. In feminist stylistics, the distribution of material and verbal processes encodes power in gendered ways in that men are created as doing subjects while their female counterparts are created as undergoing ones (Mills 1995: 52). However, recent shifts in </w:t>
      </w:r>
      <w:r w:rsidRPr="001A548B">
        <w:rPr>
          <w:rFonts w:ascii="Times New Roman" w:eastAsia="Times New Roman" w:hAnsi="Times New Roman" w:cs="Times New Roman"/>
          <w:color w:val="000000" w:themeColor="text1"/>
          <w:kern w:val="0"/>
          <w14:ligatures w14:val="none"/>
        </w:rPr>
        <w:lastRenderedPageBreak/>
        <w:t>contemporary research have problematized and contested this binary. For instance, Al-Matarneh (2021) noted that female protagonists in modern Arabic novels master matter and mind, signalling a novel representation of gender roles. Akinwotu (2019) in his work on African drama also identifies role reversal, noting that female characters are tending to have more verbal processes performed by them, affecting changes in the values of agency. These observations provide a context for the analyses of Rehema and Mama Mhina, whose domination of behavioural and linguistic processes could be indicative of different understandings of (and willingness to use) agency in African social milieux.</w:t>
      </w:r>
    </w:p>
    <w:p w14:paraId="77C6EFA0" w14:textId="3D9AD3E3"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Moreover, above and beyond any distinct processual connections, transitivity operates dialogically within some turns. Bakhtinian dialogism posits that characters have/voices in relation to other characters (Bakhtin, 1981). This principle is also applied to transitivity analysis, where the primacy of a character in the process type moulds and is moulded by the contributions of others. For instance, Leech and Short (2007: 51) claim that narrative meaning is not constituted by isolated linguistic forms, but by the patterned distribution of the forms among the multiple voices. Recent corpus stylistic research (Hoover, 2020) also shows that the choices between transitivity preferences contribute to reinforcing thematic contrasts about characters, passivity vs agency, or materiality vs reflection.</w:t>
      </w:r>
    </w:p>
    <w:p w14:paraId="2B944BF1" w14:textId="1CF8CFC3"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In addition, within African literatures, transitivity analysis has been employed to reveal how writers portray social conflict and the imbalance in power relations. Adegoju (2009) employed the SFL tools to study Wole Soyinka’s plays and demonstrated how the domination of characters in the material processes projected political power. Likewise, Koussouhon and Dossoumou (2015) showed that gender is constructed in Achebe’s Things Fall Apart through relational </w:t>
      </w:r>
      <w:r w:rsidRPr="001A548B">
        <w:rPr>
          <w:rFonts w:ascii="Times New Roman" w:eastAsia="Times New Roman" w:hAnsi="Times New Roman" w:cs="Times New Roman"/>
          <w:color w:val="000000" w:themeColor="text1"/>
          <w:kern w:val="0"/>
          <w14:ligatures w14:val="none"/>
        </w:rPr>
        <w:lastRenderedPageBreak/>
        <w:t>(social) as well as material processes and, in particular, how masculinity is constructed. More recently, Nweke (2022) demonstrated how behavioural and Cognitive processes in Chimamanda Adichie’s Novels depicts that a woman is a symbol of resilience when considered within the context of a patriarchal setting (Nweke, 2022). These findings are important as they highlight the relevance of transitivity analysis as not only a linguistic analysis but as a form of socio-cultural criticism, especially within African feminist and postcolonial contexts.</w:t>
      </w:r>
    </w:p>
    <w:p w14:paraId="733227C7" w14:textId="77777777" w:rsidR="005F5872" w:rsidRPr="001A548B" w:rsidRDefault="005F5872" w:rsidP="001A548B">
      <w:pPr>
        <w:spacing w:before="100" w:beforeAutospacing="1" w:after="100" w:afterAutospacing="1" w:line="480" w:lineRule="auto"/>
        <w:outlineLvl w:val="2"/>
        <w:rPr>
          <w:rFonts w:ascii="Times New Roman" w:eastAsia="Times New Roman" w:hAnsi="Times New Roman" w:cs="Times New Roman"/>
          <w:i/>
          <w:iCs/>
          <w:color w:val="000000" w:themeColor="text1"/>
          <w:kern w:val="0"/>
          <w14:ligatures w14:val="none"/>
        </w:rPr>
      </w:pPr>
      <w:r w:rsidRPr="001A548B">
        <w:rPr>
          <w:rFonts w:ascii="Times New Roman" w:eastAsia="Times New Roman" w:hAnsi="Times New Roman" w:cs="Times New Roman"/>
          <w:i/>
          <w:iCs/>
          <w:color w:val="000000" w:themeColor="text1"/>
          <w:kern w:val="0"/>
          <w14:ligatures w14:val="none"/>
        </w:rPr>
        <w:t>The Gap in Existing Research</w:t>
      </w:r>
    </w:p>
    <w:p w14:paraId="51F433E2" w14:textId="33B749D3"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There is heavy literature on transitivity and </w:t>
      </w:r>
      <w:r w:rsidR="00A651A8" w:rsidRPr="001A548B">
        <w:rPr>
          <w:rFonts w:ascii="Times New Roman" w:eastAsia="Times New Roman" w:hAnsi="Times New Roman" w:cs="Times New Roman"/>
          <w:color w:val="000000" w:themeColor="text1"/>
          <w:kern w:val="0"/>
          <w14:ligatures w14:val="none"/>
        </w:rPr>
        <w:t>characterization.</w:t>
      </w:r>
      <w:r w:rsidRPr="001A548B">
        <w:rPr>
          <w:rFonts w:ascii="Times New Roman" w:eastAsia="Times New Roman" w:hAnsi="Times New Roman" w:cs="Times New Roman"/>
          <w:color w:val="000000" w:themeColor="text1"/>
          <w:kern w:val="0"/>
          <w14:ligatures w14:val="none"/>
        </w:rPr>
        <w:t xml:space="preserve"> </w:t>
      </w:r>
      <w:r w:rsidR="00A651A8" w:rsidRPr="001A548B">
        <w:rPr>
          <w:rFonts w:ascii="Times New Roman" w:eastAsia="Times New Roman" w:hAnsi="Times New Roman" w:cs="Times New Roman"/>
          <w:color w:val="000000" w:themeColor="text1"/>
          <w:kern w:val="0"/>
          <w14:ligatures w14:val="none"/>
        </w:rPr>
        <w:t>H</w:t>
      </w:r>
      <w:r w:rsidRPr="001A548B">
        <w:rPr>
          <w:rFonts w:ascii="Times New Roman" w:eastAsia="Times New Roman" w:hAnsi="Times New Roman" w:cs="Times New Roman"/>
          <w:color w:val="000000" w:themeColor="text1"/>
          <w:kern w:val="0"/>
          <w14:ligatures w14:val="none"/>
        </w:rPr>
        <w:t>owever, such discussions are generally Euro-American or canonical African novels. This framework</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however</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finds less use in the </w:t>
      </w:r>
      <w:r w:rsidR="00791C81" w:rsidRPr="001A548B">
        <w:rPr>
          <w:rFonts w:ascii="Times New Roman" w:eastAsia="Times New Roman" w:hAnsi="Times New Roman" w:cs="Times New Roman"/>
          <w:color w:val="000000" w:themeColor="text1"/>
          <w:kern w:val="0"/>
          <w14:ligatures w14:val="none"/>
        </w:rPr>
        <w:t>understudied</w:t>
      </w:r>
      <w:r w:rsidRPr="001A548B">
        <w:rPr>
          <w:rFonts w:ascii="Times New Roman" w:eastAsia="Times New Roman" w:hAnsi="Times New Roman" w:cs="Times New Roman"/>
          <w:color w:val="000000" w:themeColor="text1"/>
          <w:kern w:val="0"/>
          <w14:ligatures w14:val="none"/>
        </w:rPr>
        <w:t xml:space="preserve"> contemporary Swahili literature in the examination of the yet emerging women-centred literature as demonstrated in Ester Mavele’s Shattered Dreams. Furthermore, although the majority of research pays attention to material or mental processes, less research focuses on behavioural processes and their role in generating an embodied female agency. This paper</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therefore fills a gap by using transitivity analysis </w:t>
      </w:r>
      <w:r w:rsidR="00791C81" w:rsidRPr="001A548B">
        <w:rPr>
          <w:rFonts w:ascii="Times New Roman" w:eastAsia="Times New Roman" w:hAnsi="Times New Roman" w:cs="Times New Roman"/>
          <w:color w:val="000000" w:themeColor="text1"/>
          <w:kern w:val="0"/>
          <w14:ligatures w14:val="none"/>
        </w:rPr>
        <w:t>of</w:t>
      </w:r>
      <w:r w:rsidRPr="001A548B">
        <w:rPr>
          <w:rFonts w:ascii="Times New Roman" w:eastAsia="Times New Roman" w:hAnsi="Times New Roman" w:cs="Times New Roman"/>
          <w:color w:val="000000" w:themeColor="text1"/>
          <w:kern w:val="0"/>
          <w14:ligatures w14:val="none"/>
        </w:rPr>
        <w:t xml:space="preserve"> a </w:t>
      </w:r>
      <w:r w:rsidR="00791C81" w:rsidRPr="001A548B">
        <w:rPr>
          <w:rFonts w:ascii="Times New Roman" w:eastAsia="Times New Roman" w:hAnsi="Times New Roman" w:cs="Times New Roman"/>
          <w:color w:val="000000" w:themeColor="text1"/>
          <w:kern w:val="0"/>
          <w14:ligatures w14:val="none"/>
        </w:rPr>
        <w:t>Tanzanian</w:t>
      </w:r>
      <w:r w:rsidRPr="001A548B">
        <w:rPr>
          <w:rFonts w:ascii="Times New Roman" w:eastAsia="Times New Roman" w:hAnsi="Times New Roman" w:cs="Times New Roman"/>
          <w:color w:val="000000" w:themeColor="text1"/>
          <w:kern w:val="0"/>
          <w14:ligatures w14:val="none"/>
        </w:rPr>
        <w:t xml:space="preserve"> feminist text, showing how patterned distributions of processes are not only about individual characterisation but also reflect larger socio-cultural negotiations of gender, power and identity.</w:t>
      </w:r>
    </w:p>
    <w:p w14:paraId="04691EAB" w14:textId="2F86ABFD" w:rsidR="007157D8" w:rsidRPr="001A548B" w:rsidRDefault="001A548B"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4. </w:t>
      </w:r>
      <w:r w:rsidR="007157D8" w:rsidRPr="001A548B">
        <w:rPr>
          <w:rFonts w:ascii="Times New Roman" w:eastAsia="Times New Roman" w:hAnsi="Times New Roman" w:cs="Times New Roman"/>
          <w:b/>
          <w:bCs/>
          <w:color w:val="000000" w:themeColor="text1"/>
          <w:kern w:val="0"/>
          <w14:ligatures w14:val="none"/>
        </w:rPr>
        <w:t>Theoretical Framework</w:t>
      </w:r>
    </w:p>
    <w:p w14:paraId="55ED1A2B" w14:textId="07FB317C"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This research is underpinned by Halliday’s (1994) SFL and its transitivity system that offers a multidimensional framework through which it is possible to capture the way in which language contributes to the construction of characters and events in a narrative. According to Halliday (1994), transitivity is at the heart of the ideational metafunction of language, which accounts for </w:t>
      </w:r>
      <w:r w:rsidRPr="001A548B">
        <w:rPr>
          <w:rFonts w:ascii="Times New Roman" w:eastAsia="Times New Roman" w:hAnsi="Times New Roman" w:cs="Times New Roman"/>
          <w:color w:val="000000" w:themeColor="text1"/>
          <w:kern w:val="0"/>
          <w14:ligatures w14:val="none"/>
        </w:rPr>
        <w:lastRenderedPageBreak/>
        <w:t>the way in which human experience is realised in language through processes, participants, and circumstances. These six process types—material, mental, relational, verbal, behavioural, and existential—encapsulate how characters do, think, feel, relate, and exist in narratives. It is by examining these processes that the analysis reveals how authors encode power relations, gender roles and other personality traits in discourse.</w:t>
      </w:r>
    </w:p>
    <w:p w14:paraId="0411C781" w14:textId="1C29EF84"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In the field of literary stylistics, transitivity analysis has been employed widely to show how language use mediates characterisation and ideological positioning. Simpson (2004) highlights the way moderators strategically allocate types of process in order to foreground certain persona traits, e.g. agency, passivity, or emotional vulnerability. So, characters that are often associated with material processes are represented as ones that make things happen and characters associated with mental processes are animated and at the heart of a character or centered emotionally. Furthermore, Fowler (1996) argues that transitivity selections are never neutral: they are ideological positionings and mirror societal attitudes and large-scale socio-cultural patterns.</w:t>
      </w:r>
    </w:p>
    <w:p w14:paraId="391F5836" w14:textId="77777777"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analysis also relies on Butler’s (1990) theory on gender performativity to position transitivity patterns as embedded in the discourse of gendered subjectivity. Butler asserts that gender is not a stable identity and is constructed through the repetition of acts, which includes language. In light of Halliday's model, processes ascribed to male and female characters in the text show linguistic variation that upholds and challenges normative gender roles. Character being built through behaviour or relationship, also when character is in large part or primarily female-known, draws upon traditional expectations of alleged female passivity and relationality. </w:t>
      </w:r>
      <w:r w:rsidRPr="001A548B">
        <w:rPr>
          <w:rFonts w:ascii="Times New Roman" w:eastAsia="Times New Roman" w:hAnsi="Times New Roman" w:cs="Times New Roman"/>
          <w:color w:val="000000" w:themeColor="text1"/>
          <w:kern w:val="0"/>
          <w14:ligatures w14:val="none"/>
        </w:rPr>
        <w:lastRenderedPageBreak/>
        <w:t>In spoken and material practices, on the other hand, they contest male hegemony by taking agency and authority.</w:t>
      </w:r>
    </w:p>
    <w:p w14:paraId="0287D9E0" w14:textId="2C92D042"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Also, the research is guided by Fairclough’s (1992, 2001) Critical Discourse Analysis (CDA) that emphasizes the dialectical relationship between language and power. CDA extends this SFL model by examining ways that transitivity patterns are involved in ideological reproduction. For example, a character's preference for verbal processes can indicate discursive power, which is also the ability to control narratives and dictate the subject positions of other characters. This theoretical triangulation of SFL, gender performativity, and CDA also means that the study not only reports linguistic patterns, but also analyses their wider socio-cultural and ideological import.</w:t>
      </w:r>
    </w:p>
    <w:p w14:paraId="30F72864" w14:textId="6D4F1D4A" w:rsidR="00AB404D"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concept itself is applied to transitivity, not as a grammar system but as a semiotic resource for mapping a fictional social world. By </w:t>
      </w:r>
      <w:r w:rsidR="005A0825" w:rsidRPr="001A548B">
        <w:rPr>
          <w:rFonts w:ascii="Times New Roman" w:eastAsia="Times New Roman" w:hAnsi="Times New Roman" w:cs="Times New Roman"/>
          <w:color w:val="000000" w:themeColor="text1"/>
          <w:kern w:val="0"/>
          <w14:ligatures w14:val="none"/>
        </w:rPr>
        <w:t>utilising</w:t>
      </w:r>
      <w:r w:rsidRPr="001A548B">
        <w:rPr>
          <w:rFonts w:ascii="Times New Roman" w:eastAsia="Times New Roman" w:hAnsi="Times New Roman" w:cs="Times New Roman"/>
          <w:color w:val="000000" w:themeColor="text1"/>
          <w:kern w:val="0"/>
          <w14:ligatures w14:val="none"/>
        </w:rPr>
        <w:t xml:space="preserve"> this methodology, the paper connects micro linguistic analysis and macro socio-cultural interpretation</w:t>
      </w:r>
      <w:r w:rsidR="005A0825"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revealing the operation of characterisation as an aesthetic and ideological mechanism in literary narratives.</w:t>
      </w:r>
    </w:p>
    <w:p w14:paraId="33A70D71" w14:textId="781F7C58" w:rsidR="00F11E76"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5. </w:t>
      </w:r>
      <w:r w:rsidRPr="001A548B">
        <w:rPr>
          <w:rFonts w:ascii="Times New Roman" w:eastAsia="Times New Roman" w:hAnsi="Times New Roman" w:cs="Times New Roman"/>
          <w:b/>
          <w:bCs/>
          <w:color w:val="000000" w:themeColor="text1"/>
          <w:kern w:val="0"/>
          <w14:ligatures w14:val="none"/>
        </w:rPr>
        <w:t>Methodology</w:t>
      </w:r>
    </w:p>
    <w:p w14:paraId="3C060C61" w14:textId="53EF1711" w:rsidR="005A0825"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A qualitative research design, drawing on Hallidayan SFL, transitivity system, was used to conduct the data analysis which focused on the patterns of characterisation in the excerpted literary text. The aim was to find out how the types of process (material, behavioural, mental, relational, verbal, existential) were distributed among the characters to build up personal identities, social functions and interpersonal relationships. The data included purposively selected extracts where the actions, thoughts and interactions of the characters were meaningful </w:t>
      </w:r>
      <w:r w:rsidRPr="001A548B">
        <w:rPr>
          <w:rFonts w:ascii="Times New Roman" w:eastAsia="Times New Roman" w:hAnsi="Times New Roman" w:cs="Times New Roman"/>
          <w:color w:val="000000" w:themeColor="text1"/>
          <w:kern w:val="0"/>
          <w14:ligatures w14:val="none"/>
        </w:rPr>
        <w:lastRenderedPageBreak/>
        <w:t>to understanding the excerpts. The purposive sampling guaranteed that only the passages where transitivity structures were thematically and stylistically salient are found, leaving room for a detailed analysis. The analysis was done at the clause level rather than at TG because the transitivity analysis is clause-based in SFL. Each clause was annotated for its process type, participant roles and circumstances, paying special attention to how such processes contributed to characterisation and dominance. The coding was based on Halliday and Matthiessen’s (2014) process type categorisation, so as to remain in line with FG practices.</w:t>
      </w:r>
    </w:p>
    <w:p w14:paraId="4F15BEC7" w14:textId="568C2F1C" w:rsidR="005A0825"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Reliability was established through multiple close readings and cross-checking of categorisations, querying uncertain instances in terms of established SFL (such as Simpson’s (2004) in stylistics, Eggins’ (2004) functional grammar). This analysis was two-fold: quantitative through tabulation of the frequency with which types of process appeared in characters, and qualitative in terms of interpretation of how these language patterns contributed to characterisation and thematic construction. Distal counting showed that particular processes dominated the data, whilst close reading interpretations connected these linguistic observations to wider issues of discourse and theme, such as power, agency and gender.  </w:t>
      </w:r>
    </w:p>
    <w:p w14:paraId="1E3553F1" w14:textId="1044B475" w:rsidR="007157D8"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Guided by earlier transitivity-based literary research like Mwinlaaru (2012), who showed how Hallidayan grammar exposes ideology and character roles, and Wang (2010), who studied the portrayal of power relations in narrativised texts, the methodology was motivated. The adoption of the functional linguistic analysis was justified as it does not merely describe the thematic on the surface level, but rather offers a disciplined approach to the interrogation of how language (in terms of experience, interaction and identity) is layered in a text. Further, through use of process frequency counts alongside interpretive discourse analysis, the research combined empirical </w:t>
      </w:r>
      <w:r w:rsidRPr="001A548B">
        <w:rPr>
          <w:rFonts w:ascii="Times New Roman" w:eastAsia="Times New Roman" w:hAnsi="Times New Roman" w:cs="Times New Roman"/>
          <w:color w:val="000000" w:themeColor="text1"/>
          <w:kern w:val="0"/>
          <w14:ligatures w14:val="none"/>
        </w:rPr>
        <w:lastRenderedPageBreak/>
        <w:t>rigour with the necessary sensitivity to context. This methodological stance is in keeping with stylistic methodologies which understand literature as practice, both linguistic and cultural, as defined by Leech and Short (2007).</w:t>
      </w:r>
    </w:p>
    <w:p w14:paraId="72C6EF4A" w14:textId="34180554" w:rsidR="00F11E76"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6. </w:t>
      </w:r>
      <w:r w:rsidR="00F11E76" w:rsidRPr="001A548B">
        <w:rPr>
          <w:rFonts w:ascii="Times New Roman" w:eastAsia="Times New Roman" w:hAnsi="Times New Roman" w:cs="Times New Roman"/>
          <w:b/>
          <w:bCs/>
          <w:color w:val="000000" w:themeColor="text1"/>
          <w:kern w:val="0"/>
          <w14:ligatures w14:val="none"/>
        </w:rPr>
        <w:t>F</w:t>
      </w:r>
      <w:r>
        <w:rPr>
          <w:rFonts w:ascii="Times New Roman" w:eastAsia="Times New Roman" w:hAnsi="Times New Roman" w:cs="Times New Roman"/>
          <w:b/>
          <w:bCs/>
          <w:color w:val="000000" w:themeColor="text1"/>
          <w:kern w:val="0"/>
          <w14:ligatures w14:val="none"/>
        </w:rPr>
        <w:t>indings</w:t>
      </w:r>
    </w:p>
    <w:p w14:paraId="5130C360" w14:textId="100565A5" w:rsidR="003D6B57"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6.1 </w:t>
      </w:r>
      <w:r w:rsidR="003D6B57" w:rsidRPr="001A548B">
        <w:rPr>
          <w:rFonts w:ascii="Times New Roman" w:eastAsia="Times New Roman" w:hAnsi="Times New Roman" w:cs="Times New Roman"/>
          <w:b/>
          <w:bCs/>
          <w:color w:val="000000" w:themeColor="text1"/>
          <w:kern w:val="0"/>
          <w14:ligatures w14:val="none"/>
        </w:rPr>
        <w:t>Overall Interpretation</w:t>
      </w:r>
    </w:p>
    <w:p w14:paraId="66F951F4" w14:textId="1143B5E2" w:rsidR="003D6B57" w:rsidRPr="001A548B" w:rsidRDefault="00AF27C7" w:rsidP="001A548B">
      <w:pPr>
        <w:spacing w:after="0"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Process type distribution is as follows: Behavioral &gt; Material &gt; Verbal ≈ Mental &gt;Relational &gt; Existential (none). This hierarchy captures the way the narrative makes sense according to Halliday’s transitivity of material processes in which Rehema’s subjectivity is realised through physical suffering and domestic labor, and voice and thought are rendered invisible. Dialogically, power is located in the employers’ verbal power and relational fixity, burdening Rehema’s behaviorally and materially. This process distribution is not random and incidental as recent narrative analyses of African discourse reveal (e.g., Oyewole, 2020; Mwinlaaru, 2022; Nwogu, 2021) but reflects systemic gendered and classed discourse structures in which the house girl’s agency is hidden and her labour foregrounded.</w:t>
      </w:r>
      <w:r w:rsidR="003D6B57" w:rsidRPr="001A548B">
        <w:rPr>
          <w:rFonts w:ascii="Times New Roman" w:eastAsia="Times New Roman" w:hAnsi="Times New Roman" w:cs="Times New Roman"/>
          <w:color w:val="000000" w:themeColor="text1"/>
          <w:kern w:val="0"/>
          <w14:ligatures w14:val="none"/>
        </w:rPr>
        <w:t xml:space="preserve"> </w:t>
      </w:r>
    </w:p>
    <w:p w14:paraId="4845DAF8" w14:textId="627F54BA"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6.1.1 </w:t>
      </w:r>
      <w:r w:rsidR="00107522" w:rsidRPr="001A548B">
        <w:rPr>
          <w:rFonts w:ascii="Times New Roman" w:eastAsia="Times New Roman" w:hAnsi="Times New Roman" w:cs="Times New Roman"/>
          <w:i/>
          <w:iCs/>
          <w:color w:val="000000" w:themeColor="text1"/>
          <w:kern w:val="0"/>
          <w14:ligatures w14:val="none"/>
        </w:rPr>
        <w:t>Material Practices as Power and Practice</w:t>
      </w:r>
    </w:p>
    <w:p w14:paraId="3AEE3DCD" w14:textId="5FAF28E3"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There are 18 occurrences (19.1%) of material processes in the novel. emphasising the focus on doing in the story. They adhere, for the most part</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on Rehema (10 out of 18) whose role as a housegirl is constructed in terms of cleaning, cooking and serving. This supports Halliday’s (1994:38) claim that material processes often </w:t>
      </w:r>
      <w:r w:rsidR="006E1B1F" w:rsidRPr="001A548B">
        <w:rPr>
          <w:rFonts w:ascii="Times New Roman" w:eastAsia="Times New Roman" w:hAnsi="Times New Roman" w:cs="Times New Roman"/>
          <w:color w:val="000000" w:themeColor="text1"/>
          <w:kern w:val="0"/>
          <w14:ligatures w14:val="none"/>
        </w:rPr>
        <w:t>grammaticalise</w:t>
      </w:r>
      <w:r w:rsidRPr="001A548B">
        <w:rPr>
          <w:rFonts w:ascii="Times New Roman" w:eastAsia="Times New Roman" w:hAnsi="Times New Roman" w:cs="Times New Roman"/>
          <w:color w:val="000000" w:themeColor="text1"/>
          <w:kern w:val="0"/>
          <w14:ligatures w14:val="none"/>
        </w:rPr>
        <w:t xml:space="preserve"> physical labour and social productivity. The distribution reinforces hierarchical relationships in domestic work: Mama Mhina and Mrs Mhina contribute the least (5 together), mostly delegating chores or doing acts </w:t>
      </w:r>
      <w:r w:rsidRPr="001A548B">
        <w:rPr>
          <w:rFonts w:ascii="Times New Roman" w:eastAsia="Times New Roman" w:hAnsi="Times New Roman" w:cs="Times New Roman"/>
          <w:color w:val="000000" w:themeColor="text1"/>
          <w:kern w:val="0"/>
          <w14:ligatures w14:val="none"/>
        </w:rPr>
        <w:lastRenderedPageBreak/>
        <w:t>that do not require strength, while Rehema’s dominance is due to her being placed in a position of socio-economic subordination. Works such as Mwinlaaru (2020) in Ghanaian domestic fiction also reveal that material clauses predominate in the characterization of the servant, making them agents of physical labour and not of thought or language.</w:t>
      </w:r>
    </w:p>
    <w:p w14:paraId="60C5B5EA" w14:textId="60127106"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6.1.2 </w:t>
      </w:r>
      <w:r w:rsidR="00107522" w:rsidRPr="001A548B">
        <w:rPr>
          <w:rFonts w:ascii="Times New Roman" w:eastAsia="Times New Roman" w:hAnsi="Times New Roman" w:cs="Times New Roman"/>
          <w:i/>
          <w:iCs/>
          <w:color w:val="000000" w:themeColor="text1"/>
          <w:kern w:val="0"/>
          <w14:ligatures w14:val="none"/>
        </w:rPr>
        <w:t>Behavioural Processes</w:t>
      </w:r>
      <w:r w:rsidR="006E1B1F" w:rsidRPr="001A548B">
        <w:rPr>
          <w:rFonts w:ascii="Times New Roman" w:eastAsia="Times New Roman" w:hAnsi="Times New Roman" w:cs="Times New Roman"/>
          <w:i/>
          <w:iCs/>
          <w:color w:val="000000" w:themeColor="text1"/>
          <w:kern w:val="0"/>
          <w14:ligatures w14:val="none"/>
        </w:rPr>
        <w:t xml:space="preserve"> as </w:t>
      </w:r>
      <w:r w:rsidR="00107522" w:rsidRPr="001A548B">
        <w:rPr>
          <w:rFonts w:ascii="Times New Roman" w:eastAsia="Times New Roman" w:hAnsi="Times New Roman" w:cs="Times New Roman"/>
          <w:i/>
          <w:iCs/>
          <w:color w:val="000000" w:themeColor="text1"/>
          <w:kern w:val="0"/>
          <w14:ligatures w14:val="none"/>
        </w:rPr>
        <w:t>Embodied Struggles</w:t>
      </w:r>
    </w:p>
    <w:p w14:paraId="1BE0C70C" w14:textId="3AAB1756"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behavioural processes </w:t>
      </w:r>
      <w:r w:rsidR="006E1B1F" w:rsidRPr="001A548B">
        <w:rPr>
          <w:rFonts w:ascii="Times New Roman" w:eastAsia="Times New Roman" w:hAnsi="Times New Roman" w:cs="Times New Roman"/>
          <w:color w:val="000000" w:themeColor="text1"/>
          <w:kern w:val="0"/>
          <w14:ligatures w14:val="none"/>
        </w:rPr>
        <w:t>prove</w:t>
      </w:r>
      <w:r w:rsidRPr="001A548B">
        <w:rPr>
          <w:rFonts w:ascii="Times New Roman" w:eastAsia="Times New Roman" w:hAnsi="Times New Roman" w:cs="Times New Roman"/>
          <w:color w:val="000000" w:themeColor="text1"/>
          <w:kern w:val="0"/>
          <w14:ligatures w14:val="none"/>
        </w:rPr>
        <w:t xml:space="preserve"> to be the most common type (n = 54; 57.4%)</w:t>
      </w:r>
      <w:r w:rsidR="006E1B1F" w:rsidRPr="001A548B">
        <w:rPr>
          <w:rFonts w:ascii="Times New Roman" w:eastAsia="Times New Roman" w:hAnsi="Times New Roman" w:cs="Times New Roman"/>
          <w:color w:val="000000" w:themeColor="text1"/>
          <w:kern w:val="0"/>
          <w14:ligatures w14:val="none"/>
        </w:rPr>
        <w:t>, reflecting how physical movements, gestures,</w:t>
      </w:r>
      <w:r w:rsidRPr="001A548B">
        <w:rPr>
          <w:rFonts w:ascii="Times New Roman" w:eastAsia="Times New Roman" w:hAnsi="Times New Roman" w:cs="Times New Roman"/>
          <w:color w:val="000000" w:themeColor="text1"/>
          <w:kern w:val="0"/>
          <w14:ligatures w14:val="none"/>
        </w:rPr>
        <w:t xml:space="preserve"> and emotions contribute to the narrative. These form the vast majority around Rehema (40/</w:t>
      </w:r>
      <w:r w:rsidR="006E1B1F" w:rsidRPr="001A548B">
        <w:rPr>
          <w:rFonts w:ascii="Times New Roman" w:eastAsia="Times New Roman" w:hAnsi="Times New Roman" w:cs="Times New Roman"/>
          <w:color w:val="000000" w:themeColor="text1"/>
          <w:kern w:val="0"/>
          <w14:ligatures w14:val="none"/>
        </w:rPr>
        <w:t xml:space="preserve"> out of </w:t>
      </w:r>
      <w:r w:rsidRPr="001A548B">
        <w:rPr>
          <w:rFonts w:ascii="Times New Roman" w:eastAsia="Times New Roman" w:hAnsi="Times New Roman" w:cs="Times New Roman"/>
          <w:color w:val="000000" w:themeColor="text1"/>
          <w:kern w:val="0"/>
          <w14:ligatures w14:val="none"/>
        </w:rPr>
        <w:t>54), where her body is placed in the foreground as the location of labour, exhaustion, fear, or resistance. This is consistent with Eggins (2004) who emphasises that behavioural clauses straddle both material and mental processes to demonstrate human frailty. The story</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therefore</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reduces Rehema to a bodily enactment – sighing, crying, faltering – quantified and naturalised to struggle accordingly. What are only minor incidents for Asha and Mama Mhina</w:t>
      </w:r>
      <w:r w:rsidR="006E1B1F" w:rsidRPr="001A548B">
        <w:rPr>
          <w:rFonts w:ascii="Times New Roman" w:eastAsia="Times New Roman" w:hAnsi="Times New Roman" w:cs="Times New Roman"/>
          <w:color w:val="000000" w:themeColor="text1"/>
          <w:kern w:val="0"/>
          <w14:ligatures w14:val="none"/>
        </w:rPr>
        <w:t>, to an extent, involve them emotionally; however,</w:t>
      </w:r>
      <w:r w:rsidRPr="001A548B">
        <w:rPr>
          <w:rFonts w:ascii="Times New Roman" w:eastAsia="Times New Roman" w:hAnsi="Times New Roman" w:cs="Times New Roman"/>
          <w:color w:val="000000" w:themeColor="text1"/>
          <w:kern w:val="0"/>
          <w14:ligatures w14:val="none"/>
        </w:rPr>
        <w:t xml:space="preserve"> the lack of symmetry demonstrates how the category of servant is formed through its entanglement with the body. Similar SLs in recent stylistic studies of Tanzanian narratives (e.g., Mtallo, 2023) reflect that female subaltern figures are mainly depicted through embodied strategies to highlight their marginalisation.</w:t>
      </w:r>
    </w:p>
    <w:p w14:paraId="1940E690" w14:textId="16A3113D"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6.1.3 </w:t>
      </w:r>
      <w:r w:rsidR="00107522" w:rsidRPr="001A548B">
        <w:rPr>
          <w:rFonts w:ascii="Times New Roman" w:eastAsia="Times New Roman" w:hAnsi="Times New Roman" w:cs="Times New Roman"/>
          <w:i/>
          <w:iCs/>
          <w:color w:val="000000" w:themeColor="text1"/>
          <w:kern w:val="0"/>
          <w14:ligatures w14:val="none"/>
        </w:rPr>
        <w:t>Mental Processes</w:t>
      </w:r>
      <w:r w:rsidR="006E1B1F" w:rsidRPr="001A548B">
        <w:rPr>
          <w:rFonts w:ascii="Times New Roman" w:eastAsia="Times New Roman" w:hAnsi="Times New Roman" w:cs="Times New Roman"/>
          <w:i/>
          <w:iCs/>
          <w:color w:val="000000" w:themeColor="text1"/>
          <w:kern w:val="0"/>
          <w14:ligatures w14:val="none"/>
        </w:rPr>
        <w:t xml:space="preserve"> Reflecting </w:t>
      </w:r>
      <w:r w:rsidR="00107522" w:rsidRPr="001A548B">
        <w:rPr>
          <w:rFonts w:ascii="Times New Roman" w:eastAsia="Times New Roman" w:hAnsi="Times New Roman" w:cs="Times New Roman"/>
          <w:i/>
          <w:iCs/>
          <w:color w:val="000000" w:themeColor="text1"/>
          <w:kern w:val="0"/>
          <w14:ligatures w14:val="none"/>
        </w:rPr>
        <w:t>Limited Interiorities</w:t>
      </w:r>
    </w:p>
    <w:p w14:paraId="69D9D590" w14:textId="0F918C4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There are only 9 mental-process types (9.6%), which reflects limited access to characters’ minds. Rehema continues to dominate (5), although her thoughts are fewer in relation to her behavioral load and, typically, she thinks of punishment or hardships. Mama Mhina and the others only </w:t>
      </w:r>
      <w:r w:rsidRPr="001A548B">
        <w:rPr>
          <w:rFonts w:ascii="Times New Roman" w:eastAsia="Times New Roman" w:hAnsi="Times New Roman" w:cs="Times New Roman"/>
          <w:color w:val="000000" w:themeColor="text1"/>
          <w:kern w:val="0"/>
          <w14:ligatures w14:val="none"/>
        </w:rPr>
        <w:lastRenderedPageBreak/>
        <w:t>have what little remain, and these are more likely to emphasize their distrust, scheming, or assessments than to describe powerful feelings. This supports Halliday (2014) in that mental processes represent perspectivisation and thought agency; constraining these, the text constrains the servant subjectivity. In Yemeni Fiction</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Alrefaee and Al-Saqqaf (2022) also observe that the perspective of domestic workers is muted by low proportion of mental clauses and therefore maintaining asymmetrical narrative empathy.</w:t>
      </w:r>
    </w:p>
    <w:p w14:paraId="6D964CCD" w14:textId="608E01EA"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w:t>
      </w:r>
      <w:r w:rsidR="001A548B">
        <w:rPr>
          <w:rFonts w:ascii="Times New Roman" w:eastAsia="Times New Roman" w:hAnsi="Times New Roman" w:cs="Times New Roman"/>
          <w:color w:val="000000" w:themeColor="text1"/>
          <w:kern w:val="0"/>
          <w14:ligatures w14:val="none"/>
        </w:rPr>
        <w:t xml:space="preserve">6.1.4 </w:t>
      </w:r>
      <w:r w:rsidRPr="001A548B">
        <w:rPr>
          <w:rFonts w:ascii="Times New Roman" w:eastAsia="Times New Roman" w:hAnsi="Times New Roman" w:cs="Times New Roman"/>
          <w:i/>
          <w:iCs/>
          <w:color w:val="000000" w:themeColor="text1"/>
          <w:kern w:val="0"/>
          <w14:ligatures w14:val="none"/>
        </w:rPr>
        <w:t>Verbal Processes</w:t>
      </w:r>
      <w:r w:rsidR="00FD3562" w:rsidRPr="001A548B">
        <w:rPr>
          <w:rFonts w:ascii="Times New Roman" w:eastAsia="Times New Roman" w:hAnsi="Times New Roman" w:cs="Times New Roman"/>
          <w:i/>
          <w:iCs/>
          <w:color w:val="000000" w:themeColor="text1"/>
          <w:kern w:val="0"/>
          <w14:ligatures w14:val="none"/>
        </w:rPr>
        <w:t xml:space="preserve"> Representing </w:t>
      </w:r>
      <w:r w:rsidRPr="001A548B">
        <w:rPr>
          <w:rFonts w:ascii="Times New Roman" w:eastAsia="Times New Roman" w:hAnsi="Times New Roman" w:cs="Times New Roman"/>
          <w:i/>
          <w:iCs/>
          <w:color w:val="000000" w:themeColor="text1"/>
          <w:kern w:val="0"/>
          <w14:ligatures w14:val="none"/>
        </w:rPr>
        <w:t>Contested Dialogue</w:t>
      </w:r>
    </w:p>
    <w:p w14:paraId="3A0D47F0" w14:textId="45C162B6"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Verbal processes are found in 10 (10.6%) instances, confirming it as a secondary, ambivalence site for power. Mama Mhina and Mrs. Mhina rule here (</w:t>
      </w:r>
      <w:r w:rsidR="00FD3562" w:rsidRPr="001A548B">
        <w:rPr>
          <w:rFonts w:ascii="Times New Roman" w:eastAsia="Times New Roman" w:hAnsi="Times New Roman" w:cs="Times New Roman"/>
          <w:color w:val="000000" w:themeColor="text1"/>
          <w:kern w:val="0"/>
          <w14:ligatures w14:val="none"/>
        </w:rPr>
        <w:t>they have</w:t>
      </w:r>
      <w:r w:rsidRPr="001A548B">
        <w:rPr>
          <w:rFonts w:ascii="Times New Roman" w:eastAsia="Times New Roman" w:hAnsi="Times New Roman" w:cs="Times New Roman"/>
          <w:color w:val="000000" w:themeColor="text1"/>
          <w:kern w:val="0"/>
          <w14:ligatures w14:val="none"/>
        </w:rPr>
        <w:t xml:space="preserve"> 5</w:t>
      </w:r>
      <w:r w:rsidR="00FD3562" w:rsidRPr="001A548B">
        <w:rPr>
          <w:rFonts w:ascii="Times New Roman" w:eastAsia="Times New Roman" w:hAnsi="Times New Roman" w:cs="Times New Roman"/>
          <w:color w:val="000000" w:themeColor="text1"/>
          <w:kern w:val="0"/>
          <w14:ligatures w14:val="none"/>
        </w:rPr>
        <w:t xml:space="preserve"> occrences</w:t>
      </w:r>
      <w:r w:rsidRPr="001A548B">
        <w:rPr>
          <w:rFonts w:ascii="Times New Roman" w:eastAsia="Times New Roman" w:hAnsi="Times New Roman" w:cs="Times New Roman"/>
          <w:color w:val="000000" w:themeColor="text1"/>
          <w:kern w:val="0"/>
          <w14:ligatures w14:val="none"/>
        </w:rPr>
        <w:t xml:space="preserve">) — mostly with orders or chidings — while for Rehema, a mere 3 represents her limited voice. Following Martin and Rose (2007), verbal clauses display dialogue and dialogical framing; in this case the asymmetry emphasises inequitable communicative rights. Asha’s only </w:t>
      </w:r>
      <w:r w:rsidR="00FD3562" w:rsidRPr="001A548B">
        <w:rPr>
          <w:rFonts w:ascii="Times New Roman" w:eastAsia="Times New Roman" w:hAnsi="Times New Roman" w:cs="Times New Roman"/>
          <w:color w:val="000000" w:themeColor="text1"/>
          <w:kern w:val="0"/>
          <w14:ligatures w14:val="none"/>
        </w:rPr>
        <w:t xml:space="preserve">one </w:t>
      </w:r>
      <w:r w:rsidRPr="001A548B">
        <w:rPr>
          <w:rFonts w:ascii="Times New Roman" w:eastAsia="Times New Roman" w:hAnsi="Times New Roman" w:cs="Times New Roman"/>
          <w:color w:val="000000" w:themeColor="text1"/>
          <w:kern w:val="0"/>
          <w14:ligatures w14:val="none"/>
        </w:rPr>
        <w:t>instance serves more to justify than prescribe. We also encounter such imbalances in sociolinguistic studies of domestic discourse (e.g., Ndhlovu, 2021), in which employers are dominant in speech acts and domestic workers’ verbal agency is marginalised.</w:t>
      </w:r>
    </w:p>
    <w:p w14:paraId="2A8D9895" w14:textId="7D7B7718"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6.1.5 </w:t>
      </w:r>
      <w:r w:rsidR="00107522" w:rsidRPr="001A548B">
        <w:rPr>
          <w:rFonts w:ascii="Times New Roman" w:eastAsia="Times New Roman" w:hAnsi="Times New Roman" w:cs="Times New Roman"/>
          <w:i/>
          <w:iCs/>
          <w:color w:val="000000" w:themeColor="text1"/>
          <w:kern w:val="0"/>
          <w14:ligatures w14:val="none"/>
        </w:rPr>
        <w:t>Relational Processes</w:t>
      </w:r>
      <w:r w:rsidR="00FD3562" w:rsidRPr="001A548B">
        <w:rPr>
          <w:rFonts w:ascii="Times New Roman" w:eastAsia="Times New Roman" w:hAnsi="Times New Roman" w:cs="Times New Roman"/>
          <w:i/>
          <w:iCs/>
          <w:color w:val="000000" w:themeColor="text1"/>
          <w:kern w:val="0"/>
          <w14:ligatures w14:val="none"/>
        </w:rPr>
        <w:t xml:space="preserve"> Functioning as</w:t>
      </w:r>
      <w:r w:rsidR="00107522" w:rsidRPr="001A548B">
        <w:rPr>
          <w:rFonts w:ascii="Times New Roman" w:eastAsia="Times New Roman" w:hAnsi="Times New Roman" w:cs="Times New Roman"/>
          <w:i/>
          <w:iCs/>
          <w:color w:val="000000" w:themeColor="text1"/>
          <w:kern w:val="0"/>
          <w14:ligatures w14:val="none"/>
        </w:rPr>
        <w:t xml:space="preserve"> Identity and Evaluation</w:t>
      </w:r>
    </w:p>
    <w:p w14:paraId="1523502B" w14:textId="7777777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Relational processes are infrequent (3 cases, 3.2%) but symbolically potent. They fix character identities and roles, like naming Rehema “the housegirl” or endowing Mama Mhina with moral characteristics. Relational processes build abstract relations of being and attribution that they instantiate, in Halliday's (1994) sense, by instantiating social labels. Their rarity implies that identities are already presupposed in the narrative – Rehema’s position is relationally defined, </w:t>
      </w:r>
      <w:r w:rsidRPr="001A548B">
        <w:rPr>
          <w:rFonts w:ascii="Times New Roman" w:eastAsia="Times New Roman" w:hAnsi="Times New Roman" w:cs="Times New Roman"/>
          <w:color w:val="000000" w:themeColor="text1"/>
          <w:kern w:val="0"/>
          <w14:ligatures w14:val="none"/>
        </w:rPr>
        <w:lastRenderedPageBreak/>
        <w:t>and behavioural and material clauses dramatise it:  In the narrative. Attending to style Recent work on style (e.g., Kamau, 2022) demonstrates that they are also mechanisms governing shorthand symbolic usage of relational processes to index class difference in African domestic narratives, in which servant characters are “flattened into static categories” (Tullock, 2010, p. 333).</w:t>
      </w:r>
    </w:p>
    <w:p w14:paraId="06C73267" w14:textId="527D5CDB"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6.1.6 </w:t>
      </w:r>
      <w:r w:rsidR="00204467" w:rsidRPr="001A548B">
        <w:rPr>
          <w:rFonts w:ascii="Times New Roman" w:eastAsia="Times New Roman" w:hAnsi="Times New Roman" w:cs="Times New Roman"/>
          <w:i/>
          <w:iCs/>
          <w:color w:val="000000" w:themeColor="text1"/>
          <w:kern w:val="0"/>
          <w14:ligatures w14:val="none"/>
        </w:rPr>
        <w:t xml:space="preserve">Nonexistence of </w:t>
      </w:r>
      <w:r w:rsidR="00107522" w:rsidRPr="001A548B">
        <w:rPr>
          <w:rFonts w:ascii="Times New Roman" w:eastAsia="Times New Roman" w:hAnsi="Times New Roman" w:cs="Times New Roman"/>
          <w:i/>
          <w:iCs/>
          <w:color w:val="000000" w:themeColor="text1"/>
          <w:kern w:val="0"/>
          <w14:ligatures w14:val="none"/>
        </w:rPr>
        <w:t>Existential Processes</w:t>
      </w:r>
      <w:r w:rsidR="00204467" w:rsidRPr="001A548B">
        <w:rPr>
          <w:rFonts w:ascii="Times New Roman" w:eastAsia="Times New Roman" w:hAnsi="Times New Roman" w:cs="Times New Roman"/>
          <w:i/>
          <w:iCs/>
          <w:color w:val="000000" w:themeColor="text1"/>
          <w:kern w:val="0"/>
          <w14:ligatures w14:val="none"/>
        </w:rPr>
        <w:t xml:space="preserve"> </w:t>
      </w:r>
    </w:p>
    <w:p w14:paraId="22E55669" w14:textId="7777777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Interestingly, existential processes do not occur at all (0%). That absence indicates the narrative is rather claustrophobically arranged within interpersonal relationships and domestic habits, with limited room for larger existential ponderings or social critique. This is in contrast to evidence from Kenyan servant narratives (Mugubi, 2019), where existential clauses had a broader moral or societal reference. The lack here merely adds to the marginalization of the characters of Rehema in particular, who is effectively defined in terms of the experience of the text, and not always to the characters as more generalized examples of the human condition.</w:t>
      </w:r>
    </w:p>
    <w:p w14:paraId="5330CE70" w14:textId="53DE69E0" w:rsidR="00107522" w:rsidRPr="001A548B" w:rsidRDefault="00454E7A"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6</w:t>
      </w:r>
      <w:r w:rsidR="001A548B">
        <w:rPr>
          <w:rFonts w:ascii="Times New Roman" w:eastAsia="Times New Roman" w:hAnsi="Times New Roman" w:cs="Times New Roman"/>
          <w:i/>
          <w:iCs/>
          <w:color w:val="000000" w:themeColor="text1"/>
          <w:kern w:val="0"/>
          <w14:ligatures w14:val="none"/>
        </w:rPr>
        <w:t>.</w:t>
      </w:r>
      <w:r>
        <w:rPr>
          <w:rFonts w:ascii="Times New Roman" w:eastAsia="Times New Roman" w:hAnsi="Times New Roman" w:cs="Times New Roman"/>
          <w:i/>
          <w:iCs/>
          <w:color w:val="000000" w:themeColor="text1"/>
          <w:kern w:val="0"/>
          <w14:ligatures w14:val="none"/>
        </w:rPr>
        <w:t xml:space="preserve">1.7 </w:t>
      </w:r>
      <w:r w:rsidR="00107522" w:rsidRPr="001A548B">
        <w:rPr>
          <w:rFonts w:ascii="Times New Roman" w:eastAsia="Times New Roman" w:hAnsi="Times New Roman" w:cs="Times New Roman"/>
          <w:i/>
          <w:iCs/>
          <w:color w:val="000000" w:themeColor="text1"/>
          <w:kern w:val="0"/>
          <w14:ligatures w14:val="none"/>
        </w:rPr>
        <w:t>Synthesis</w:t>
      </w:r>
    </w:p>
    <w:p w14:paraId="7E0B7C06" w14:textId="126C85CB" w:rsidR="007D68E3"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Combined, the distribution clearly gives prominence to B and M, the two predominant processes being behavioural (57.4%) and material (19.1%), which also weigh heavily towards Rehema and demote V, Mv and R 'into operators of second status', mainly associated with the employers. This asymmetry constructs Rehema’s identity as visceral (body-bound labour), emotionally exposed labour, voiceless, and empty brained; meanwhile, employers maintain discursive and relational power. In Hallidayan jargon, the transitivity choices of the story redo social hierarchies </w:t>
      </w:r>
      <w:r w:rsidRPr="001A548B">
        <w:rPr>
          <w:rFonts w:ascii="Times New Roman" w:eastAsia="Times New Roman" w:hAnsi="Times New Roman" w:cs="Times New Roman"/>
          <w:color w:val="000000" w:themeColor="text1"/>
          <w:kern w:val="0"/>
          <w14:ligatures w14:val="none"/>
        </w:rPr>
        <w:lastRenderedPageBreak/>
        <w:t>and gendered marginality, and are in line with patterns observed in broader African stylistic analyses of representation of domestic workers.</w:t>
      </w:r>
      <w:r w:rsidR="00D35AF0" w:rsidRPr="001A548B">
        <w:rPr>
          <w:rFonts w:ascii="Times New Roman" w:eastAsia="Times New Roman" w:hAnsi="Times New Roman" w:cs="Times New Roman"/>
          <w:color w:val="000000" w:themeColor="text1"/>
          <w:kern w:val="0"/>
          <w14:ligatures w14:val="none"/>
        </w:rPr>
        <w:t xml:space="preserve"> </w:t>
      </w:r>
    </w:p>
    <w:p w14:paraId="3CF77E16" w14:textId="10092B89" w:rsidR="007D2FED" w:rsidRPr="001A548B" w:rsidRDefault="00454E7A" w:rsidP="001A548B">
      <w:pPr>
        <w:spacing w:before="100" w:beforeAutospacing="1" w:after="100" w:afterAutospacing="1" w:line="480" w:lineRule="auto"/>
        <w:outlineLvl w:val="0"/>
        <w:rPr>
          <w:rFonts w:ascii="Times New Roman" w:eastAsia="Times New Roman" w:hAnsi="Times New Roman" w:cs="Times New Roman"/>
          <w:b/>
          <w:bCs/>
          <w:color w:val="000000" w:themeColor="text1"/>
          <w:kern w:val="36"/>
          <w14:ligatures w14:val="none"/>
        </w:rPr>
      </w:pPr>
      <w:r>
        <w:rPr>
          <w:rFonts w:ascii="Times New Roman" w:eastAsia="Times New Roman" w:hAnsi="Times New Roman" w:cs="Times New Roman"/>
          <w:b/>
          <w:bCs/>
          <w:color w:val="000000" w:themeColor="text1"/>
          <w:kern w:val="36"/>
          <w14:ligatures w14:val="none"/>
        </w:rPr>
        <w:t xml:space="preserve">6.2 </w:t>
      </w:r>
      <w:r w:rsidR="007D2FED" w:rsidRPr="001A548B">
        <w:rPr>
          <w:rFonts w:ascii="Times New Roman" w:eastAsia="Times New Roman" w:hAnsi="Times New Roman" w:cs="Times New Roman"/>
          <w:b/>
          <w:bCs/>
          <w:color w:val="000000" w:themeColor="text1"/>
          <w:kern w:val="36"/>
          <w14:ligatures w14:val="none"/>
        </w:rPr>
        <w:t xml:space="preserve">Transitivity and Characterisation in </w:t>
      </w:r>
      <w:r w:rsidR="007D2FED" w:rsidRPr="001A548B">
        <w:rPr>
          <w:rFonts w:ascii="Times New Roman" w:eastAsia="Times New Roman" w:hAnsi="Times New Roman" w:cs="Times New Roman"/>
          <w:b/>
          <w:bCs/>
          <w:i/>
          <w:iCs/>
          <w:color w:val="000000" w:themeColor="text1"/>
          <w:kern w:val="36"/>
          <w14:ligatures w14:val="none"/>
        </w:rPr>
        <w:t>Rehema the Housegirl</w:t>
      </w:r>
    </w:p>
    <w:p w14:paraId="06053A05" w14:textId="447B5C95"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6.2.1 </w:t>
      </w:r>
      <w:r w:rsidR="00051F2A" w:rsidRPr="001A548B">
        <w:rPr>
          <w:rFonts w:ascii="Times New Roman" w:eastAsia="Times New Roman" w:hAnsi="Times New Roman" w:cs="Times New Roman"/>
          <w:i/>
          <w:iCs/>
          <w:color w:val="000000" w:themeColor="text1"/>
          <w:kern w:val="0"/>
          <w14:ligatures w14:val="none"/>
        </w:rPr>
        <w:t>Mary Representing Speech-Saturation and Voice-Only Agency</w:t>
      </w:r>
    </w:p>
    <w:p w14:paraId="79E6AB3C" w14:textId="2989C197" w:rsidR="00C01F28"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Mary is overwhelmingly voice-centred (100%, n = 17), lending weight to her as a “voice-only” character. She is very nearly a blank Sayer replaying questions and answers or channeling the telephone without any host-form material or mental agency. This chimes with Halliday’s view that verbal processes are semiotic action or agency: She acts out her intent through speaking, and not through work or thought. Narratively, Mary is an intermediary, shuttling around propositions and the continuance of dialogue, but she is without an embodied or cognitive depth given to others.   This is commensurate with </w:t>
      </w:r>
      <w:r w:rsidR="00C01F28" w:rsidRPr="001A548B">
        <w:rPr>
          <w:rFonts w:ascii="Times New Roman" w:eastAsia="Times New Roman" w:hAnsi="Times New Roman" w:cs="Times New Roman"/>
          <w:color w:val="000000" w:themeColor="text1"/>
          <w:kern w:val="0"/>
          <w14:ligatures w14:val="none"/>
        </w:rPr>
        <w:t>Eggins (2004) and Thompson (2014), who argue that such speech-saturated roles often encode institutional or supportive functions (messenger, observer) rather than psychological depth. Mary’s presence showcases how some characters are constructed purely as conduits of interpersonal negotiation, rather than as full participants in the experiential world.</w:t>
      </w:r>
    </w:p>
    <w:p w14:paraId="4B694F5D" w14:textId="18F6A5FF"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6.2.2 </w:t>
      </w:r>
      <w:r w:rsidR="00C01F28" w:rsidRPr="001A548B">
        <w:rPr>
          <w:rFonts w:ascii="Times New Roman" w:eastAsia="Times New Roman" w:hAnsi="Times New Roman" w:cs="Times New Roman"/>
          <w:i/>
          <w:iCs/>
          <w:color w:val="000000" w:themeColor="text1"/>
          <w:kern w:val="0"/>
          <w14:ligatures w14:val="none"/>
        </w:rPr>
        <w:t xml:space="preserve">The Gardener as </w:t>
      </w:r>
      <w:r w:rsidR="00051F2A" w:rsidRPr="001A548B">
        <w:rPr>
          <w:rFonts w:ascii="Times New Roman" w:eastAsia="Times New Roman" w:hAnsi="Times New Roman" w:cs="Times New Roman"/>
          <w:i/>
          <w:iCs/>
          <w:color w:val="000000" w:themeColor="text1"/>
          <w:kern w:val="0"/>
          <w14:ligatures w14:val="none"/>
        </w:rPr>
        <w:t>Mental-Centred Perception</w:t>
      </w:r>
    </w:p>
    <w:p w14:paraId="221685C5" w14:textId="743099E2"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Gardener is conspicuously realised as a Senser, with 80.95% of his clauses being coded as mental (n = 21). Rather than having work be the image showing who he is, his identity is about watching, seeing, and knowing. This inverts the material portrayal of </w:t>
      </w:r>
      <w:r w:rsidR="00C01F28" w:rsidRPr="001A548B">
        <w:rPr>
          <w:rFonts w:ascii="Times New Roman" w:eastAsia="Times New Roman" w:hAnsi="Times New Roman" w:cs="Times New Roman"/>
          <w:color w:val="000000" w:themeColor="text1"/>
          <w:kern w:val="0"/>
          <w14:ligatures w14:val="none"/>
        </w:rPr>
        <w:t>working-class</w:t>
      </w:r>
      <w:r w:rsidRPr="001A548B">
        <w:rPr>
          <w:rFonts w:ascii="Times New Roman" w:eastAsia="Times New Roman" w:hAnsi="Times New Roman" w:cs="Times New Roman"/>
          <w:color w:val="000000" w:themeColor="text1"/>
          <w:kern w:val="0"/>
          <w14:ligatures w14:val="none"/>
        </w:rPr>
        <w:t xml:space="preserve"> characters as such. His remaining reporting devices (≈19%) function to report perceptions rather than to command action. As Mwinlaaru (2019) writes in relation to Ghanaian narrations, the milieu side </w:t>
      </w:r>
      <w:r w:rsidRPr="001A548B">
        <w:rPr>
          <w:rFonts w:ascii="Times New Roman" w:eastAsia="Times New Roman" w:hAnsi="Times New Roman" w:cs="Times New Roman"/>
          <w:color w:val="000000" w:themeColor="text1"/>
          <w:kern w:val="0"/>
          <w14:ligatures w14:val="none"/>
        </w:rPr>
        <w:lastRenderedPageBreak/>
        <w:t>characters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occasionally, textually located in stories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are those of “seers”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capable of interpreting the environment as opposed to participating in it – providing hermeneutic, not material, worth. The Gardener’s distribution thus foregrounds how transitivity choices may disconnect social position from representational framing, intellection or perception, endowing a marginal character with such weight that they might be a thinker or perceiver.</w:t>
      </w:r>
    </w:p>
    <w:p w14:paraId="55168805" w14:textId="09883D09"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6.2.3 </w:t>
      </w:r>
      <w:r w:rsidR="00220D36" w:rsidRPr="001A548B">
        <w:rPr>
          <w:rFonts w:ascii="Times New Roman" w:eastAsia="Times New Roman" w:hAnsi="Times New Roman" w:cs="Times New Roman"/>
          <w:i/>
          <w:iCs/>
          <w:color w:val="000000" w:themeColor="text1"/>
          <w:kern w:val="0"/>
          <w14:ligatures w14:val="none"/>
        </w:rPr>
        <w:t>Father Representing</w:t>
      </w:r>
      <w:r w:rsidR="00051F2A" w:rsidRPr="001A548B">
        <w:rPr>
          <w:rFonts w:ascii="Times New Roman" w:eastAsia="Times New Roman" w:hAnsi="Times New Roman" w:cs="Times New Roman"/>
          <w:i/>
          <w:iCs/>
          <w:color w:val="000000" w:themeColor="text1"/>
          <w:kern w:val="0"/>
          <w14:ligatures w14:val="none"/>
        </w:rPr>
        <w:t xml:space="preserve"> Mind Authority and Reflective Control</w:t>
      </w:r>
    </w:p>
    <w:p w14:paraId="5C6CFD29" w14:textId="6E12AE1C"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Father is the cognitive centre of the story as mental processes are used to represent 61.54% (n = 26). This is followed by material (23.08%) and behavioural (15.38%) clauses, while very little verbal (3.85%) presence is maintained. His power, then, rests in reflective control — he thinks, assesses, remembers — and his judgments structure the actions of others. This textulises the power of fatherhood not as one of command, but of watching and evaluating, resonating with Simpson’s (2004) assertion that the power of fathers is embedded in discursive practices as tone of voice rather than in speech. In perspective, the story focuses more on his thought processes than his actions and sets him as a center of discernment around which others revolve.</w:t>
      </w:r>
    </w:p>
    <w:p w14:paraId="5C38E376" w14:textId="7EE8811B"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6.2.4 </w:t>
      </w:r>
      <w:r w:rsidR="00051F2A" w:rsidRPr="001A548B">
        <w:rPr>
          <w:rFonts w:ascii="Times New Roman" w:eastAsia="Times New Roman" w:hAnsi="Times New Roman" w:cs="Times New Roman"/>
          <w:i/>
          <w:iCs/>
          <w:color w:val="000000" w:themeColor="text1"/>
          <w:kern w:val="0"/>
          <w14:ligatures w14:val="none"/>
        </w:rPr>
        <w:t>Asha</w:t>
      </w:r>
      <w:r w:rsidR="00220D36" w:rsidRPr="001A548B">
        <w:rPr>
          <w:rFonts w:ascii="Times New Roman" w:eastAsia="Times New Roman" w:hAnsi="Times New Roman" w:cs="Times New Roman"/>
          <w:i/>
          <w:iCs/>
          <w:color w:val="000000" w:themeColor="text1"/>
          <w:kern w:val="0"/>
          <w14:ligatures w14:val="none"/>
        </w:rPr>
        <w:t xml:space="preserve"> as an </w:t>
      </w:r>
      <w:r w:rsidR="00051F2A" w:rsidRPr="001A548B">
        <w:rPr>
          <w:rFonts w:ascii="Times New Roman" w:eastAsia="Times New Roman" w:hAnsi="Times New Roman" w:cs="Times New Roman"/>
          <w:i/>
          <w:iCs/>
          <w:color w:val="000000" w:themeColor="text1"/>
          <w:kern w:val="0"/>
          <w14:ligatures w14:val="none"/>
        </w:rPr>
        <w:t>embodiment and enactment of material and phenomena action</w:t>
      </w:r>
    </w:p>
    <w:p w14:paraId="0D7B1058" w14:textId="3356D2C3"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Asha is primarily composed of material (55.93%) and behavioural (44.07%) clauses (n = 59), with virtually absent mental or verbal clauses. Her identity is th</w:t>
      </w:r>
      <w:r w:rsidR="00220D36" w:rsidRPr="001A548B">
        <w:rPr>
          <w:rFonts w:ascii="Times New Roman" w:eastAsia="Times New Roman" w:hAnsi="Times New Roman" w:cs="Times New Roman"/>
          <w:color w:val="000000" w:themeColor="text1"/>
          <w:kern w:val="0"/>
          <w14:ligatures w14:val="none"/>
        </w:rPr>
        <w:t>at</w:t>
      </w:r>
      <w:r w:rsidRPr="001A548B">
        <w:rPr>
          <w:rFonts w:ascii="Times New Roman" w:eastAsia="Times New Roman" w:hAnsi="Times New Roman" w:cs="Times New Roman"/>
          <w:color w:val="000000" w:themeColor="text1"/>
          <w:kern w:val="0"/>
          <w14:ligatures w14:val="none"/>
        </w:rPr>
        <w:t xml:space="preserve"> of labour (carrying, serving, waiting) and bodily postures of compliance or reluctance, but she does not think or speak in the mechanics of the text. This is parallel to </w:t>
      </w:r>
      <w:r w:rsidR="00F20A6A" w:rsidRPr="001A548B">
        <w:rPr>
          <w:rFonts w:ascii="Times New Roman" w:eastAsia="Times New Roman" w:hAnsi="Times New Roman" w:cs="Times New Roman"/>
          <w:color w:val="000000" w:themeColor="text1"/>
          <w:kern w:val="0"/>
          <w14:ligatures w14:val="none"/>
        </w:rPr>
        <w:t xml:space="preserve">Halliday’s (1985) insight that behavioural processes serve as embodied displays of affect in lieu of voice, and it resonates with Koussouhon &amp; Dossoumou’s (2022) findings in West African servant fiction in which domestic workers are </w:t>
      </w:r>
      <w:r w:rsidR="00F20A6A" w:rsidRPr="001A548B">
        <w:rPr>
          <w:rFonts w:ascii="Times New Roman" w:eastAsia="Times New Roman" w:hAnsi="Times New Roman" w:cs="Times New Roman"/>
          <w:color w:val="000000" w:themeColor="text1"/>
          <w:kern w:val="0"/>
          <w14:ligatures w14:val="none"/>
        </w:rPr>
        <w:lastRenderedPageBreak/>
        <w:t xml:space="preserve">represented as bodies in motion, not as speaking or thinking agents. </w:t>
      </w:r>
      <w:r w:rsidRPr="001A548B">
        <w:rPr>
          <w:rFonts w:ascii="Times New Roman" w:eastAsia="Times New Roman" w:hAnsi="Times New Roman" w:cs="Times New Roman"/>
          <w:color w:val="000000" w:themeColor="text1"/>
          <w:kern w:val="0"/>
          <w14:ligatures w14:val="none"/>
        </w:rPr>
        <w:t>Dialogically, Asha is spoken to far more than she speaks; her texted body is where response lives, its volume measuring the limits of agency. She represents the servant type that Rehema’s profile would question later.</w:t>
      </w:r>
    </w:p>
    <w:p w14:paraId="452EB7B7" w14:textId="5271EB12"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6.2.5 </w:t>
      </w:r>
      <w:r w:rsidR="00051F2A" w:rsidRPr="001A548B">
        <w:rPr>
          <w:rFonts w:ascii="Times New Roman" w:eastAsia="Times New Roman" w:hAnsi="Times New Roman" w:cs="Times New Roman"/>
          <w:i/>
          <w:iCs/>
          <w:color w:val="000000" w:themeColor="text1"/>
          <w:kern w:val="0"/>
          <w14:ligatures w14:val="none"/>
        </w:rPr>
        <w:t xml:space="preserve">Mother </w:t>
      </w:r>
      <w:r w:rsidR="00FC7A6F" w:rsidRPr="001A548B">
        <w:rPr>
          <w:rFonts w:ascii="Times New Roman" w:eastAsia="Times New Roman" w:hAnsi="Times New Roman" w:cs="Times New Roman"/>
          <w:i/>
          <w:iCs/>
          <w:color w:val="000000" w:themeColor="text1"/>
          <w:kern w:val="0"/>
          <w14:ligatures w14:val="none"/>
        </w:rPr>
        <w:t>Representing</w:t>
      </w:r>
      <w:r w:rsidR="00051F2A" w:rsidRPr="001A548B">
        <w:rPr>
          <w:rFonts w:ascii="Times New Roman" w:eastAsia="Times New Roman" w:hAnsi="Times New Roman" w:cs="Times New Roman"/>
          <w:i/>
          <w:iCs/>
          <w:color w:val="000000" w:themeColor="text1"/>
          <w:kern w:val="0"/>
          <w14:ligatures w14:val="none"/>
        </w:rPr>
        <w:t xml:space="preserve"> Behavioural Regulation </w:t>
      </w:r>
    </w:p>
    <w:p w14:paraId="2C4AC6B7" w14:textId="758890CE"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Mother’s authority in behavioural affairs (54.17%, n = 48) sets her as a regulator of the home ambience. Her sighs and pauses, her physical movements set the emotional tone before she utters any words. This performative authority is given second order verbal (18.75%) and mental (16.67%) clauses, with material action being backgrounded (10.42%). </w:t>
      </w:r>
      <w:r w:rsidR="006665D5" w:rsidRPr="001A548B">
        <w:rPr>
          <w:rFonts w:ascii="Times New Roman" w:eastAsia="Times New Roman" w:hAnsi="Times New Roman" w:cs="Times New Roman"/>
          <w:color w:val="000000" w:themeColor="text1"/>
          <w:kern w:val="0"/>
          <w14:ligatures w14:val="none"/>
        </w:rPr>
        <w:t>These</w:t>
      </w:r>
      <w:r w:rsidRPr="001A548B">
        <w:rPr>
          <w:rFonts w:ascii="Times New Roman" w:eastAsia="Times New Roman" w:hAnsi="Times New Roman" w:cs="Times New Roman"/>
          <w:color w:val="000000" w:themeColor="text1"/>
          <w:kern w:val="0"/>
          <w14:ligatures w14:val="none"/>
        </w:rPr>
        <w:t xml:space="preserve"> behavioral profiles allow for a “show-don’t-tell” authority, where a moral stance is enacted physically, before being signed off on verbally (Simpson, 2004). Hasan (1989) also associates relational and behavioral processes with maternal regulation of values. In this story, Mother’s acts of dominance mark her out as an affective moral anchor that regulates norms by being there, rather than by issuing commands.</w:t>
      </w:r>
    </w:p>
    <w:p w14:paraId="4BB62F26" w14:textId="33874A0E"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6.2.6 </w:t>
      </w:r>
      <w:r w:rsidR="00051F2A" w:rsidRPr="001A548B">
        <w:rPr>
          <w:rFonts w:ascii="Times New Roman" w:eastAsia="Times New Roman" w:hAnsi="Times New Roman" w:cs="Times New Roman"/>
          <w:i/>
          <w:iCs/>
          <w:color w:val="000000" w:themeColor="text1"/>
          <w:kern w:val="0"/>
          <w14:ligatures w14:val="none"/>
        </w:rPr>
        <w:t xml:space="preserve">Mr. </w:t>
      </w:r>
      <w:r w:rsidR="006665D5" w:rsidRPr="001A548B">
        <w:rPr>
          <w:rFonts w:ascii="Times New Roman" w:eastAsia="Times New Roman" w:hAnsi="Times New Roman" w:cs="Times New Roman"/>
          <w:i/>
          <w:iCs/>
          <w:color w:val="000000" w:themeColor="text1"/>
          <w:kern w:val="0"/>
          <w14:ligatures w14:val="none"/>
        </w:rPr>
        <w:t xml:space="preserve">Mhina as a </w:t>
      </w:r>
      <w:r w:rsidR="00051F2A" w:rsidRPr="001A548B">
        <w:rPr>
          <w:rFonts w:ascii="Times New Roman" w:eastAsia="Times New Roman" w:hAnsi="Times New Roman" w:cs="Times New Roman"/>
          <w:i/>
          <w:iCs/>
          <w:color w:val="000000" w:themeColor="text1"/>
          <w:kern w:val="0"/>
          <w14:ligatures w14:val="none"/>
        </w:rPr>
        <w:t>Material Actor,</w:t>
      </w:r>
      <w:r w:rsidR="006665D5" w:rsidRPr="001A548B">
        <w:rPr>
          <w:rFonts w:ascii="Times New Roman" w:eastAsia="Times New Roman" w:hAnsi="Times New Roman" w:cs="Times New Roman"/>
          <w:i/>
          <w:iCs/>
          <w:color w:val="000000" w:themeColor="text1"/>
          <w:kern w:val="0"/>
          <w14:ligatures w14:val="none"/>
        </w:rPr>
        <w:t xml:space="preserve"> with</w:t>
      </w:r>
      <w:r w:rsidR="00051F2A" w:rsidRPr="001A548B">
        <w:rPr>
          <w:rFonts w:ascii="Times New Roman" w:eastAsia="Times New Roman" w:hAnsi="Times New Roman" w:cs="Times New Roman"/>
          <w:i/>
          <w:iCs/>
          <w:color w:val="000000" w:themeColor="text1"/>
          <w:kern w:val="0"/>
          <w14:ligatures w14:val="none"/>
        </w:rPr>
        <w:t xml:space="preserve"> Cognitive Authority</w:t>
      </w:r>
    </w:p>
    <w:p w14:paraId="273BA863" w14:textId="1F3764B1"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Mr Mhina integrates material (46.15%) and mental processes (36.92%) (n = 65), aided by trace amounts of verbal (10.77%), behavioural (3.08%) and existential (2.03%). He is a high-agency Actor who does and decides, but he doesn’t speak that much. Instrumentally, then, his authority is performed; he inspects, adjudges, initiates </w:t>
      </w:r>
      <w:r w:rsidR="00A650E6" w:rsidRPr="001A548B">
        <w:rPr>
          <w:rFonts w:ascii="Times New Roman" w:eastAsia="Times New Roman" w:hAnsi="Times New Roman" w:cs="Times New Roman"/>
          <w:color w:val="000000" w:themeColor="text1"/>
          <w:kern w:val="0"/>
          <w14:ligatures w14:val="none"/>
        </w:rPr>
        <w:t>plan</w:t>
      </w:r>
      <w:r w:rsidRPr="001A548B">
        <w:rPr>
          <w:rFonts w:ascii="Times New Roman" w:eastAsia="Times New Roman" w:hAnsi="Times New Roman" w:cs="Times New Roman"/>
          <w:color w:val="000000" w:themeColor="text1"/>
          <w:kern w:val="0"/>
          <w14:ligatures w14:val="none"/>
        </w:rPr>
        <w:t xml:space="preserve">, and then leaves their execution to others. This accords with Van Leeuwen’s (2008) model of instrumental power, in which control is achieved not by incessant speech, but by access to resources and decision-making power. Whereas </w:t>
      </w:r>
      <w:r w:rsidRPr="001A548B">
        <w:rPr>
          <w:rFonts w:ascii="Times New Roman" w:eastAsia="Times New Roman" w:hAnsi="Times New Roman" w:cs="Times New Roman"/>
          <w:color w:val="000000" w:themeColor="text1"/>
          <w:kern w:val="0"/>
          <w14:ligatures w14:val="none"/>
        </w:rPr>
        <w:lastRenderedPageBreak/>
        <w:t>Father’s reflective dominance or Mr. Mhina is hybrid: Actor, Senser, though less of a Sayer, signifying a type of paternalistic authority that is pragmatic.</w:t>
      </w:r>
    </w:p>
    <w:p w14:paraId="36B7A0CD" w14:textId="2645C67E"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6.2.7 </w:t>
      </w:r>
      <w:r w:rsidR="00A650E6" w:rsidRPr="001A548B">
        <w:rPr>
          <w:rFonts w:ascii="Times New Roman" w:eastAsia="Times New Roman" w:hAnsi="Times New Roman" w:cs="Times New Roman"/>
          <w:i/>
          <w:iCs/>
          <w:color w:val="000000" w:themeColor="text1"/>
          <w:kern w:val="0"/>
          <w14:ligatures w14:val="none"/>
        </w:rPr>
        <w:t>Rehema as a</w:t>
      </w:r>
      <w:r w:rsidR="00051F2A" w:rsidRPr="001A548B">
        <w:rPr>
          <w:rFonts w:ascii="Times New Roman" w:eastAsia="Times New Roman" w:hAnsi="Times New Roman" w:cs="Times New Roman"/>
          <w:i/>
          <w:iCs/>
          <w:color w:val="000000" w:themeColor="text1"/>
          <w:kern w:val="0"/>
          <w14:ligatures w14:val="none"/>
        </w:rPr>
        <w:t>n Axial Presentation of Mental, Verbal, and Physical Activity</w:t>
      </w:r>
    </w:p>
    <w:p w14:paraId="3DA0B336" w14:textId="6225F807"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Rehema’s transitivity is the most complex of all the participants in our narrative and, perhaps for this reason, also the most balanced. Mental (28.73%) is the most frequent followed by the tie of verbal (24.25%) and acting (22.01%) and their combination and then material (16.79%) and the least seen in existential (7.09%) and relational (1.12%) (n = 268). To this tri-axial distribution (sensing–speaking– showing) corresponds her subjection as subjectivity (mental) and voice (verbal) and embodied being (behavioural), </w:t>
      </w:r>
      <w:r w:rsidR="00A650E6" w:rsidRPr="001A548B">
        <w:rPr>
          <w:rFonts w:ascii="Times New Roman" w:eastAsia="Times New Roman" w:hAnsi="Times New Roman" w:cs="Times New Roman"/>
          <w:color w:val="000000" w:themeColor="text1"/>
          <w:kern w:val="0"/>
          <w14:ligatures w14:val="none"/>
        </w:rPr>
        <w:t xml:space="preserve">communicating </w:t>
      </w:r>
      <w:r w:rsidRPr="001A548B">
        <w:rPr>
          <w:rFonts w:ascii="Times New Roman" w:eastAsia="Times New Roman" w:hAnsi="Times New Roman" w:cs="Times New Roman"/>
          <w:color w:val="000000" w:themeColor="text1"/>
          <w:kern w:val="0"/>
          <w14:ligatures w14:val="none"/>
        </w:rPr>
        <w:t xml:space="preserve">the </w:t>
      </w:r>
      <w:r w:rsidR="00A650E6" w:rsidRPr="001A548B">
        <w:rPr>
          <w:rFonts w:ascii="Times New Roman" w:eastAsia="Times New Roman" w:hAnsi="Times New Roman" w:cs="Times New Roman"/>
          <w:color w:val="000000" w:themeColor="text1"/>
          <w:kern w:val="0"/>
          <w14:ligatures w14:val="none"/>
        </w:rPr>
        <w:t>resistance</w:t>
      </w:r>
      <w:r w:rsidRPr="001A548B">
        <w:rPr>
          <w:rFonts w:ascii="Times New Roman" w:eastAsia="Times New Roman" w:hAnsi="Times New Roman" w:cs="Times New Roman"/>
          <w:color w:val="000000" w:themeColor="text1"/>
          <w:kern w:val="0"/>
          <w14:ligatures w14:val="none"/>
        </w:rPr>
        <w:t xml:space="preserve"> of the servant stereotype as the mere materiality of a slave. This kind of balance is what Halliday &amp; Matthiessen (2014) refer to as the provision of </w:t>
      </w:r>
      <w:r w:rsidR="00A650E6" w:rsidRPr="001A548B">
        <w:rPr>
          <w:rFonts w:ascii="Times New Roman" w:eastAsia="Times New Roman" w:hAnsi="Times New Roman" w:cs="Times New Roman"/>
          <w:color w:val="000000" w:themeColor="text1"/>
          <w:kern w:val="0"/>
          <w14:ligatures w14:val="none"/>
        </w:rPr>
        <w:t>multi-dimensional</w:t>
      </w:r>
      <w:r w:rsidRPr="001A548B">
        <w:rPr>
          <w:rFonts w:ascii="Times New Roman" w:eastAsia="Times New Roman" w:hAnsi="Times New Roman" w:cs="Times New Roman"/>
          <w:color w:val="000000" w:themeColor="text1"/>
          <w:kern w:val="0"/>
          <w14:ligatures w14:val="none"/>
        </w:rPr>
        <w:t xml:space="preserve"> agency. Most importantly, the relatively low percentage of material about a housegirl points to an intentional narrative strategy: the text is about Rehema’s inner life and the sound of her own voice rather than simply about work. This is a feminist-stylistic device borrowing from Mills (1995) and Lazar (2005) and it resonates with Musyoka (2022) and Onyango (2023) who observe how recent East African fiction is repositioning domestic workers as thinking speaking agents. In this way, Rehema comes to function as a site of resistance—the very presence of her body and her discourse resist the silencing performed on figures such as Asha.</w:t>
      </w:r>
    </w:p>
    <w:p w14:paraId="6BD90D4C" w14:textId="77777777" w:rsidR="00440E8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Put differently, when transitivity patterns are lumped together across characters, the story world is constructed as one in which mental (27.03%) and behavioural (24.86%) processes dominate, followed by material (22.16%) and verbal (20.18%) processes, while existential (3.96%) and relational (1.80%) processes play a minor role. This distribution gives weight to inner stance and </w:t>
      </w:r>
      <w:r w:rsidRPr="001A548B">
        <w:rPr>
          <w:rFonts w:ascii="Times New Roman" w:eastAsia="Times New Roman" w:hAnsi="Times New Roman" w:cs="Times New Roman"/>
          <w:color w:val="000000" w:themeColor="text1"/>
          <w:kern w:val="0"/>
          <w14:ligatures w14:val="none"/>
        </w:rPr>
        <w:lastRenderedPageBreak/>
        <w:t>embodied response (a little over 52%) over pure action or speech, and it is a texture of narrative that is more reflective and along affective lines, and less action-driven</w:t>
      </w:r>
      <w:r w:rsidR="00A650E6"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Character parts correspond almost seamlessly to socio-gendered roles</w:t>
      </w:r>
      <w:r w:rsidR="00440E8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that is, Asha functions as subaltern labour through (im)materiality processes, Mr Mhina and Father share the use of authority, with Father enacting instrumental </w:t>
      </w:r>
      <w:r w:rsidR="00440E8A" w:rsidRPr="001A548B">
        <w:rPr>
          <w:rFonts w:ascii="Times New Roman" w:eastAsia="Times New Roman" w:hAnsi="Times New Roman" w:cs="Times New Roman"/>
          <w:color w:val="000000" w:themeColor="text1"/>
          <w:kern w:val="0"/>
          <w14:ligatures w14:val="none"/>
        </w:rPr>
        <w:t>and mental</w:t>
      </w:r>
      <w:r w:rsidRPr="001A548B">
        <w:rPr>
          <w:rFonts w:ascii="Times New Roman" w:eastAsia="Times New Roman" w:hAnsi="Times New Roman" w:cs="Times New Roman"/>
          <w:color w:val="000000" w:themeColor="text1"/>
          <w:kern w:val="0"/>
          <w14:ligatures w14:val="none"/>
        </w:rPr>
        <w:t xml:space="preserve"> processes and Mr Mhina enacting evaluative mental positioning, Mother regulates the affective domestic through behaviour act, while Mary appears as a “voice-only” figure, circulating discourse but not action. On the other hand, Rah</w:t>
      </w:r>
      <w:r w:rsidR="00440E8A" w:rsidRPr="001A548B">
        <w:rPr>
          <w:rFonts w:ascii="Times New Roman" w:eastAsia="Times New Roman" w:hAnsi="Times New Roman" w:cs="Times New Roman"/>
          <w:color w:val="000000" w:themeColor="text1"/>
          <w:kern w:val="0"/>
          <w14:ligatures w14:val="none"/>
        </w:rPr>
        <w:t>ema,</w:t>
      </w:r>
      <w:r w:rsidRPr="001A548B">
        <w:rPr>
          <w:rFonts w:ascii="Times New Roman" w:eastAsia="Times New Roman" w:hAnsi="Times New Roman" w:cs="Times New Roman"/>
          <w:color w:val="000000" w:themeColor="text1"/>
          <w:kern w:val="0"/>
          <w14:ligatures w14:val="none"/>
        </w:rPr>
        <w:t xml:space="preserve"> the protagonist</w:t>
      </w:r>
      <w:r w:rsidR="00440E8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disrupts the maid stereotype through the intersection of thought, voice and an embodied presence to disrupt the muting of such a character. This synthesis substantiates Koussouhon and Dossoumou’s (2022) and Mwinlaaru’s (2019) assertions that transitivity choices in African domestic narratives reify not only plot functions, but ideological standpoints as servants are silent and embodied whereas patriarchal </w:t>
      </w:r>
      <w:r w:rsidR="00440E8A" w:rsidRPr="001A548B">
        <w:rPr>
          <w:rFonts w:ascii="Times New Roman" w:eastAsia="Times New Roman" w:hAnsi="Times New Roman" w:cs="Times New Roman"/>
          <w:color w:val="000000" w:themeColor="text1"/>
          <w:kern w:val="0"/>
          <w14:ligatures w14:val="none"/>
        </w:rPr>
        <w:t>figures</w:t>
      </w:r>
      <w:r w:rsidRPr="001A548B">
        <w:rPr>
          <w:rFonts w:ascii="Times New Roman" w:eastAsia="Times New Roman" w:hAnsi="Times New Roman" w:cs="Times New Roman"/>
          <w:color w:val="000000" w:themeColor="text1"/>
          <w:kern w:val="0"/>
          <w14:ligatures w14:val="none"/>
        </w:rPr>
        <w:t xml:space="preserve"> dominate through the cognitive and instrumental domains. </w:t>
      </w:r>
      <w:r w:rsidR="00440E8A" w:rsidRPr="001A548B">
        <w:rPr>
          <w:rFonts w:ascii="Times New Roman" w:eastAsia="Times New Roman" w:hAnsi="Times New Roman" w:cs="Times New Roman"/>
          <w:color w:val="000000" w:themeColor="text1"/>
          <w:kern w:val="0"/>
          <w14:ligatures w14:val="none"/>
        </w:rPr>
        <w:t>Yet, Rehema’s distribution marks a notable deviation—her mental, verbal, and behavioural richness foregrounds her humanity, positioning the text as a feminist intervention within the tradition of servant fiction.</w:t>
      </w:r>
    </w:p>
    <w:p w14:paraId="623CE7B3" w14:textId="13098A70" w:rsidR="00B36B61" w:rsidRPr="001A548B" w:rsidRDefault="00454E7A" w:rsidP="001A548B">
      <w:pPr>
        <w:spacing w:before="100" w:beforeAutospacing="1" w:after="100" w:afterAutospacing="1" w:line="480" w:lineRule="auto"/>
        <w:jc w:val="both"/>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6.3 </w:t>
      </w:r>
      <w:r w:rsidR="00440E8A" w:rsidRPr="001A548B">
        <w:rPr>
          <w:rFonts w:ascii="Times New Roman" w:eastAsia="Times New Roman" w:hAnsi="Times New Roman" w:cs="Times New Roman"/>
          <w:b/>
          <w:bCs/>
          <w:color w:val="000000" w:themeColor="text1"/>
          <w:kern w:val="0"/>
          <w14:ligatures w14:val="none"/>
        </w:rPr>
        <w:t>Implications of</w:t>
      </w:r>
      <w:r w:rsidR="00C92BA7" w:rsidRPr="001A548B">
        <w:rPr>
          <w:rFonts w:ascii="Times New Roman" w:eastAsia="Times New Roman" w:hAnsi="Times New Roman" w:cs="Times New Roman"/>
          <w:b/>
          <w:bCs/>
          <w:color w:val="000000" w:themeColor="text1"/>
          <w:kern w:val="0"/>
          <w14:ligatures w14:val="none"/>
        </w:rPr>
        <w:t xml:space="preserve"> the Findings for Halliday’s Transitivity Theoretical  </w:t>
      </w:r>
    </w:p>
    <w:p w14:paraId="36FE9047" w14:textId="17F6F75C"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transitivity distribution of the story shows an interesting prevalence of material processes, making for 57% of the total number. Characters, particularly Rehema, are also depicted through their behaviors and what is happening to their bodies or inside their hearts, as in </w:t>
      </w:r>
      <w:r w:rsidR="001F77BA" w:rsidRPr="001A548B">
        <w:rPr>
          <w:rFonts w:ascii="Times New Roman" w:eastAsia="Times New Roman" w:hAnsi="Times New Roman" w:cs="Times New Roman"/>
          <w:color w:val="000000" w:themeColor="text1"/>
          <w:kern w:val="0"/>
          <w14:ligatures w14:val="none"/>
        </w:rPr>
        <w:t>“could</w:t>
      </w:r>
      <w:r w:rsidRPr="001A548B">
        <w:rPr>
          <w:rFonts w:ascii="Times New Roman" w:eastAsia="Times New Roman" w:hAnsi="Times New Roman" w:cs="Times New Roman"/>
          <w:color w:val="000000" w:themeColor="text1"/>
          <w:kern w:val="0"/>
          <w14:ligatures w14:val="none"/>
        </w:rPr>
        <w:t xml:space="preserve"> not wait to leave”, in “her heart stopped for a second”. This priority lends an observational tone to the narrative voice, in which the narrator “shows,” rather than “tells,” states of consciousness. Rehema’s position of behavioural dominance makes her into a reactor, not an actor</w:t>
      </w:r>
      <w:r w:rsidR="001F77B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her </w:t>
      </w:r>
      <w:r w:rsidRPr="001A548B">
        <w:rPr>
          <w:rFonts w:ascii="Times New Roman" w:eastAsia="Times New Roman" w:hAnsi="Times New Roman" w:cs="Times New Roman"/>
          <w:color w:val="000000" w:themeColor="text1"/>
          <w:kern w:val="0"/>
          <w14:ligatures w14:val="none"/>
        </w:rPr>
        <w:lastRenderedPageBreak/>
        <w:t>formation of self coming in terms of responses and embodied states rather than decisive actions. In Hallidayan terms, this represents a restricted sense of agency, the kind of agency the woman has as a domestic worker and as a subject which is mediated predominantly by virtue of her affective responses rather than through the transformative shaping of her context.</w:t>
      </w:r>
    </w:p>
    <w:p w14:paraId="5EF1D799" w14:textId="05D2484A"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Th</w:t>
      </w:r>
      <w:r w:rsidR="001F77BA" w:rsidRPr="001A548B">
        <w:rPr>
          <w:rFonts w:ascii="Times New Roman" w:eastAsia="Times New Roman" w:hAnsi="Times New Roman" w:cs="Times New Roman"/>
          <w:color w:val="000000" w:themeColor="text1"/>
          <w:kern w:val="0"/>
          <w14:ligatures w14:val="none"/>
        </w:rPr>
        <w:t xml:space="preserve">e </w:t>
      </w:r>
      <w:r w:rsidRPr="001A548B">
        <w:rPr>
          <w:rFonts w:ascii="Times New Roman" w:eastAsia="Times New Roman" w:hAnsi="Times New Roman" w:cs="Times New Roman"/>
          <w:color w:val="000000" w:themeColor="text1"/>
          <w:kern w:val="0"/>
          <w14:ligatures w14:val="none"/>
        </w:rPr>
        <w:t>material</w:t>
      </w:r>
      <w:r w:rsidR="001F77BA" w:rsidRPr="001A548B">
        <w:rPr>
          <w:rFonts w:ascii="Times New Roman" w:eastAsia="Times New Roman" w:hAnsi="Times New Roman" w:cs="Times New Roman"/>
          <w:color w:val="000000" w:themeColor="text1"/>
          <w:kern w:val="0"/>
          <w14:ligatures w14:val="none"/>
        </w:rPr>
        <w:t xml:space="preserve"> processes are</w:t>
      </w:r>
      <w:r w:rsidRPr="001A548B">
        <w:rPr>
          <w:rFonts w:ascii="Times New Roman" w:eastAsia="Times New Roman" w:hAnsi="Times New Roman" w:cs="Times New Roman"/>
          <w:color w:val="000000" w:themeColor="text1"/>
          <w:kern w:val="0"/>
          <w14:ligatures w14:val="none"/>
        </w:rPr>
        <w:t xml:space="preserve"> at a moderate pace (19%), detailing physical actions such as “worked long hours” and “packed her stuff.” Although these verbs </w:t>
      </w:r>
      <w:r w:rsidR="001F77BA" w:rsidRPr="001A548B">
        <w:rPr>
          <w:rFonts w:ascii="Times New Roman" w:eastAsia="Times New Roman" w:hAnsi="Times New Roman" w:cs="Times New Roman"/>
          <w:color w:val="000000" w:themeColor="text1"/>
          <w:kern w:val="0"/>
          <w14:ligatures w14:val="none"/>
        </w:rPr>
        <w:t>emphasise</w:t>
      </w:r>
      <w:r w:rsidRPr="001A548B">
        <w:rPr>
          <w:rFonts w:ascii="Times New Roman" w:eastAsia="Times New Roman" w:hAnsi="Times New Roman" w:cs="Times New Roman"/>
          <w:color w:val="000000" w:themeColor="text1"/>
          <w:kern w:val="0"/>
          <w14:ligatures w14:val="none"/>
        </w:rPr>
        <w:t xml:space="preserve"> Rehema’s function of labouring and controlling her immediate situation, their low frequency suggests that the text foregrounds her survival rather than her active making of her world. The conservative selection of material clauses also serves to highlight her limited power within the social context she occupies.</w:t>
      </w:r>
    </w:p>
    <w:p w14:paraId="7EE8E052" w14:textId="2A861CAC"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Cognitive processes are </w:t>
      </w:r>
      <w:r w:rsidR="00020AFF" w:rsidRPr="001A548B">
        <w:rPr>
          <w:rFonts w:ascii="Times New Roman" w:eastAsia="Times New Roman" w:hAnsi="Times New Roman" w:cs="Times New Roman"/>
          <w:color w:val="000000" w:themeColor="text1"/>
          <w:kern w:val="0"/>
          <w14:ligatures w14:val="none"/>
        </w:rPr>
        <w:t>anaemic</w:t>
      </w:r>
      <w:r w:rsidRPr="001A548B">
        <w:rPr>
          <w:rFonts w:ascii="Times New Roman" w:eastAsia="Times New Roman" w:hAnsi="Times New Roman" w:cs="Times New Roman"/>
          <w:color w:val="000000" w:themeColor="text1"/>
          <w:kern w:val="0"/>
          <w14:ligatures w14:val="none"/>
        </w:rPr>
        <w:t xml:space="preserve">, representing 10% of the sample. </w:t>
      </w:r>
      <w:r w:rsidR="00020AFF" w:rsidRPr="001A548B">
        <w:rPr>
          <w:rFonts w:ascii="Times New Roman" w:eastAsia="Times New Roman" w:hAnsi="Times New Roman" w:cs="Times New Roman"/>
          <w:color w:val="000000" w:themeColor="text1"/>
          <w:kern w:val="0"/>
          <w14:ligatures w14:val="none"/>
        </w:rPr>
        <w:t xml:space="preserve">This scarcity </w:t>
      </w:r>
      <w:r w:rsidRPr="001A548B">
        <w:rPr>
          <w:rFonts w:ascii="Times New Roman" w:eastAsia="Times New Roman" w:hAnsi="Times New Roman" w:cs="Times New Roman"/>
          <w:color w:val="000000" w:themeColor="text1"/>
          <w:kern w:val="0"/>
          <w14:ligatures w14:val="none"/>
        </w:rPr>
        <w:t>encode</w:t>
      </w:r>
      <w:r w:rsidR="00020AFF" w:rsidRPr="001A548B">
        <w:rPr>
          <w:rFonts w:ascii="Times New Roman" w:eastAsia="Times New Roman" w:hAnsi="Times New Roman" w:cs="Times New Roman"/>
          <w:color w:val="000000" w:themeColor="text1"/>
          <w:kern w:val="0"/>
          <w14:ligatures w14:val="none"/>
        </w:rPr>
        <w:t>s</w:t>
      </w:r>
      <w:r w:rsidRPr="001A548B">
        <w:rPr>
          <w:rFonts w:ascii="Times New Roman" w:eastAsia="Times New Roman" w:hAnsi="Times New Roman" w:cs="Times New Roman"/>
          <w:color w:val="000000" w:themeColor="text1"/>
          <w:kern w:val="0"/>
          <w14:ligatures w14:val="none"/>
        </w:rPr>
        <w:t xml:space="preserve"> Rehema’s thinking, emotions, or perceptions. </w:t>
      </w:r>
      <w:r w:rsidR="00020AFF" w:rsidRPr="001A548B">
        <w:rPr>
          <w:rFonts w:ascii="Times New Roman" w:eastAsia="Times New Roman" w:hAnsi="Times New Roman" w:cs="Times New Roman"/>
          <w:color w:val="000000" w:themeColor="text1"/>
          <w:kern w:val="0"/>
          <w14:ligatures w14:val="none"/>
        </w:rPr>
        <w:t>T</w:t>
      </w:r>
      <w:r w:rsidRPr="001A548B">
        <w:rPr>
          <w:rFonts w:ascii="Times New Roman" w:eastAsia="Times New Roman" w:hAnsi="Times New Roman" w:cs="Times New Roman"/>
          <w:color w:val="000000" w:themeColor="text1"/>
          <w:kern w:val="0"/>
          <w14:ligatures w14:val="none"/>
        </w:rPr>
        <w:t xml:space="preserve">he text frequently gestures toward such interiority through physical </w:t>
      </w:r>
      <w:r w:rsidR="00020AFF" w:rsidRPr="001A548B">
        <w:rPr>
          <w:rFonts w:ascii="Times New Roman" w:eastAsia="Times New Roman" w:hAnsi="Times New Roman" w:cs="Times New Roman"/>
          <w:color w:val="000000" w:themeColor="text1"/>
          <w:kern w:val="0"/>
          <w14:ligatures w14:val="none"/>
        </w:rPr>
        <w:t>behaviour</w:t>
      </w:r>
      <w:r w:rsidRPr="001A548B">
        <w:rPr>
          <w:rFonts w:ascii="Times New Roman" w:eastAsia="Times New Roman" w:hAnsi="Times New Roman" w:cs="Times New Roman"/>
          <w:color w:val="000000" w:themeColor="text1"/>
          <w:kern w:val="0"/>
          <w14:ligatures w14:val="none"/>
        </w:rPr>
        <w:t xml:space="preserve">, and the audience pieces together thought and feeling from what is visible. This stylistic mode dovetails with a narrative economy in which cognition remains in the background, and the impression is of a character whose subjectivity is expressed through </w:t>
      </w:r>
      <w:r w:rsidR="00020AFF" w:rsidRPr="001A548B">
        <w:rPr>
          <w:rFonts w:ascii="Times New Roman" w:eastAsia="Times New Roman" w:hAnsi="Times New Roman" w:cs="Times New Roman"/>
          <w:color w:val="000000" w:themeColor="text1"/>
          <w:kern w:val="0"/>
          <w14:ligatures w14:val="none"/>
        </w:rPr>
        <w:t>exteriorised</w:t>
      </w:r>
      <w:r w:rsidRPr="001A548B">
        <w:rPr>
          <w:rFonts w:ascii="Times New Roman" w:eastAsia="Times New Roman" w:hAnsi="Times New Roman" w:cs="Times New Roman"/>
          <w:color w:val="000000" w:themeColor="text1"/>
          <w:kern w:val="0"/>
          <w14:ligatures w14:val="none"/>
        </w:rPr>
        <w:t xml:space="preserve"> effects rather than stated directly.</w:t>
      </w:r>
    </w:p>
    <w:p w14:paraId="46F29E87" w14:textId="2D48B0F7"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Verbal processes make up 11%, so dialogue and reported speech are a feature but a secondary one in the text. Conversations also serve as revealing windows between people, although they are not used to carry the plot or the characters. </w:t>
      </w:r>
      <w:r w:rsidR="00020AFF" w:rsidRPr="001A548B">
        <w:rPr>
          <w:rFonts w:ascii="Times New Roman" w:eastAsia="Times New Roman" w:hAnsi="Times New Roman" w:cs="Times New Roman"/>
          <w:color w:val="000000" w:themeColor="text1"/>
          <w:kern w:val="0"/>
          <w14:ligatures w14:val="none"/>
        </w:rPr>
        <w:t>Unfortunately,</w:t>
      </w:r>
      <w:r w:rsidRPr="001A548B">
        <w:rPr>
          <w:rFonts w:ascii="Times New Roman" w:eastAsia="Times New Roman" w:hAnsi="Times New Roman" w:cs="Times New Roman"/>
          <w:color w:val="000000" w:themeColor="text1"/>
          <w:kern w:val="0"/>
          <w14:ligatures w14:val="none"/>
        </w:rPr>
        <w:t xml:space="preserve"> in terms of character agency</w:t>
      </w:r>
      <w:r w:rsidR="00020AF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r w:rsidR="00020AFF" w:rsidRPr="001A548B">
        <w:rPr>
          <w:rFonts w:ascii="Times New Roman" w:eastAsia="Times New Roman" w:hAnsi="Times New Roman" w:cs="Times New Roman"/>
          <w:color w:val="000000" w:themeColor="text1"/>
          <w:kern w:val="0"/>
          <w14:ligatures w14:val="none"/>
        </w:rPr>
        <w:t>this</w:t>
      </w:r>
      <w:r w:rsidRPr="001A548B">
        <w:rPr>
          <w:rFonts w:ascii="Times New Roman" w:eastAsia="Times New Roman" w:hAnsi="Times New Roman" w:cs="Times New Roman"/>
          <w:color w:val="000000" w:themeColor="text1"/>
          <w:kern w:val="0"/>
          <w14:ligatures w14:val="none"/>
        </w:rPr>
        <w:t xml:space="preserve"> means that Rehema and her </w:t>
      </w:r>
      <w:r w:rsidR="00020AFF" w:rsidRPr="001A548B">
        <w:rPr>
          <w:rFonts w:ascii="Times New Roman" w:eastAsia="Times New Roman" w:hAnsi="Times New Roman" w:cs="Times New Roman"/>
          <w:color w:val="000000" w:themeColor="text1"/>
          <w:kern w:val="0"/>
          <w14:ligatures w14:val="none"/>
        </w:rPr>
        <w:t>kind are not given</w:t>
      </w:r>
      <w:r w:rsidRPr="001A548B">
        <w:rPr>
          <w:rFonts w:ascii="Times New Roman" w:eastAsia="Times New Roman" w:hAnsi="Times New Roman" w:cs="Times New Roman"/>
          <w:color w:val="000000" w:themeColor="text1"/>
          <w:kern w:val="0"/>
          <w14:ligatures w14:val="none"/>
        </w:rPr>
        <w:t xml:space="preserve"> the role of players of influence within the oral domain, to influence the course of events through speaking.</w:t>
      </w:r>
    </w:p>
    <w:p w14:paraId="64B87AE1" w14:textId="1C4B1DFE"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Relational processes are least widespread (3%), and there are hardly any clauses with an expression of identity or with the copular verbs of ‘being’ and ‘having’. This paucity indicates that the </w:t>
      </w:r>
      <w:r w:rsidR="00020AFF" w:rsidRPr="001A548B">
        <w:rPr>
          <w:rFonts w:ascii="Times New Roman" w:eastAsia="Times New Roman" w:hAnsi="Times New Roman" w:cs="Times New Roman"/>
          <w:color w:val="000000" w:themeColor="text1"/>
          <w:kern w:val="0"/>
          <w14:ligatures w14:val="none"/>
        </w:rPr>
        <w:t xml:space="preserve">author </w:t>
      </w:r>
      <w:r w:rsidRPr="001A548B">
        <w:rPr>
          <w:rFonts w:ascii="Times New Roman" w:eastAsia="Times New Roman" w:hAnsi="Times New Roman" w:cs="Times New Roman"/>
          <w:color w:val="000000" w:themeColor="text1"/>
          <w:kern w:val="0"/>
          <w14:ligatures w14:val="none"/>
        </w:rPr>
        <w:t xml:space="preserve">is less interested in describing roles or positing states of being than in activities and actions. Existential processes are also entirely missing (0%), </w:t>
      </w:r>
      <w:r w:rsidR="001640F9" w:rsidRPr="001A548B">
        <w:rPr>
          <w:rFonts w:ascii="Times New Roman" w:eastAsia="Times New Roman" w:hAnsi="Times New Roman" w:cs="Times New Roman"/>
          <w:color w:val="000000" w:themeColor="text1"/>
          <w:kern w:val="0"/>
          <w14:ligatures w14:val="none"/>
        </w:rPr>
        <w:t>implying</w:t>
      </w:r>
      <w:r w:rsidRPr="001A548B">
        <w:rPr>
          <w:rFonts w:ascii="Times New Roman" w:eastAsia="Times New Roman" w:hAnsi="Times New Roman" w:cs="Times New Roman"/>
          <w:color w:val="000000" w:themeColor="text1"/>
          <w:kern w:val="0"/>
          <w14:ligatures w14:val="none"/>
        </w:rPr>
        <w:t xml:space="preserve"> that there are no abstract constructions like “there was” and “there is” in the text. Instead, the stories are attached to material, observable things.</w:t>
      </w:r>
    </w:p>
    <w:p w14:paraId="144F01C7" w14:textId="686508CE"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When all of these relations are considered together, they deliver an experiential, immediate, embodied narrative world</w:t>
      </w:r>
      <w:r w:rsidR="001640F9"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r w:rsidR="001640F9" w:rsidRPr="001A548B">
        <w:rPr>
          <w:rFonts w:ascii="Times New Roman" w:eastAsia="Times New Roman" w:hAnsi="Times New Roman" w:cs="Times New Roman"/>
          <w:color w:val="000000" w:themeColor="text1"/>
          <w:kern w:val="0"/>
          <w14:ligatures w14:val="none"/>
        </w:rPr>
        <w:t>O</w:t>
      </w:r>
      <w:r w:rsidRPr="001A548B">
        <w:rPr>
          <w:rFonts w:ascii="Times New Roman" w:eastAsia="Times New Roman" w:hAnsi="Times New Roman" w:cs="Times New Roman"/>
          <w:color w:val="000000" w:themeColor="text1"/>
          <w:kern w:val="0"/>
          <w14:ligatures w14:val="none"/>
        </w:rPr>
        <w:t>n the one hand, valorizing behavioural processes while suppressing material, psychic and relational alternatives, and, on the other hand, Rehema emerges less as an authorial subject of thought or action and more as a figure whose presence is felt through affectivity and its laboured, embodied performability. Halliday’s model shows, then, how, through language choice, thematic issues such as limited agency, social subordination, and the actually led existence of domestic work are constructed.</w:t>
      </w:r>
    </w:p>
    <w:p w14:paraId="3603E252" w14:textId="51685D59" w:rsidR="00440E8A" w:rsidRPr="001A548B" w:rsidRDefault="00454E7A"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7. </w:t>
      </w:r>
      <w:r w:rsidR="00440E8A" w:rsidRPr="001A548B">
        <w:rPr>
          <w:rFonts w:ascii="Times New Roman" w:eastAsia="Times New Roman" w:hAnsi="Times New Roman" w:cs="Times New Roman"/>
          <w:b/>
          <w:bCs/>
          <w:color w:val="000000" w:themeColor="text1"/>
          <w:kern w:val="0"/>
          <w14:ligatures w14:val="none"/>
        </w:rPr>
        <w:t>Summary</w:t>
      </w:r>
    </w:p>
    <w:p w14:paraId="7DFFB03A" w14:textId="13BD30BF"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This </w:t>
      </w:r>
      <w:r w:rsidR="00E91703" w:rsidRPr="001A548B">
        <w:rPr>
          <w:rFonts w:ascii="Times New Roman" w:eastAsia="Times New Roman" w:hAnsi="Times New Roman" w:cs="Times New Roman"/>
          <w:color w:val="000000" w:themeColor="text1"/>
          <w:kern w:val="0"/>
          <w14:ligatures w14:val="none"/>
        </w:rPr>
        <w:t>study</w:t>
      </w:r>
      <w:r w:rsidRPr="001A548B">
        <w:rPr>
          <w:rFonts w:ascii="Times New Roman" w:eastAsia="Times New Roman" w:hAnsi="Times New Roman" w:cs="Times New Roman"/>
          <w:color w:val="000000" w:themeColor="text1"/>
          <w:kern w:val="0"/>
          <w14:ligatures w14:val="none"/>
        </w:rPr>
        <w:t xml:space="preserve"> ex</w:t>
      </w:r>
      <w:r w:rsidR="00E91703" w:rsidRPr="001A548B">
        <w:rPr>
          <w:rFonts w:ascii="Times New Roman" w:eastAsia="Times New Roman" w:hAnsi="Times New Roman" w:cs="Times New Roman"/>
          <w:color w:val="000000" w:themeColor="text1"/>
          <w:kern w:val="0"/>
          <w14:ligatures w14:val="none"/>
        </w:rPr>
        <w:t>amined</w:t>
      </w:r>
      <w:r w:rsidRPr="001A548B">
        <w:rPr>
          <w:rFonts w:ascii="Times New Roman" w:eastAsia="Times New Roman" w:hAnsi="Times New Roman" w:cs="Times New Roman"/>
          <w:color w:val="000000" w:themeColor="text1"/>
          <w:kern w:val="0"/>
          <w14:ligatures w14:val="none"/>
        </w:rPr>
        <w:t xml:space="preserve"> Halliday’s transitivity system as tool in tracing characterisation and creation of meaning in </w:t>
      </w:r>
      <w:r w:rsidRPr="001A548B">
        <w:rPr>
          <w:rFonts w:ascii="Times New Roman" w:eastAsia="Times New Roman" w:hAnsi="Times New Roman" w:cs="Times New Roman"/>
          <w:i/>
          <w:iCs/>
          <w:color w:val="000000" w:themeColor="text1"/>
          <w:kern w:val="0"/>
          <w14:ligatures w14:val="none"/>
        </w:rPr>
        <w:t xml:space="preserve">Rehema the </w:t>
      </w:r>
      <w:r w:rsidR="00454E7A" w:rsidRPr="001A548B">
        <w:rPr>
          <w:rFonts w:ascii="Times New Roman" w:eastAsia="Times New Roman" w:hAnsi="Times New Roman" w:cs="Times New Roman"/>
          <w:i/>
          <w:iCs/>
          <w:color w:val="000000" w:themeColor="text1"/>
          <w:kern w:val="0"/>
          <w14:ligatures w14:val="none"/>
        </w:rPr>
        <w:t xml:space="preserve">House </w:t>
      </w:r>
      <w:r w:rsidR="00454E7A">
        <w:rPr>
          <w:rFonts w:ascii="Times New Roman" w:eastAsia="Times New Roman" w:hAnsi="Times New Roman" w:cs="Times New Roman"/>
          <w:i/>
          <w:iCs/>
          <w:color w:val="000000" w:themeColor="text1"/>
          <w:kern w:val="0"/>
          <w14:ligatures w14:val="none"/>
        </w:rPr>
        <w:t>G</w:t>
      </w:r>
      <w:r w:rsidR="00454E7A" w:rsidRPr="001A548B">
        <w:rPr>
          <w:rFonts w:ascii="Times New Roman" w:eastAsia="Times New Roman" w:hAnsi="Times New Roman" w:cs="Times New Roman"/>
          <w:i/>
          <w:iCs/>
          <w:color w:val="000000" w:themeColor="text1"/>
          <w:kern w:val="0"/>
          <w14:ligatures w14:val="none"/>
        </w:rPr>
        <w:t>irl</w:t>
      </w:r>
      <w:r w:rsidRPr="001A548B">
        <w:rPr>
          <w:rFonts w:ascii="Times New Roman" w:eastAsia="Times New Roman" w:hAnsi="Times New Roman" w:cs="Times New Roman"/>
          <w:color w:val="000000" w:themeColor="text1"/>
          <w:kern w:val="0"/>
          <w14:ligatures w14:val="none"/>
        </w:rPr>
        <w:t xml:space="preserve">. The study was prompted by the perceived lack of research investigating transitivity in fictional discourse, despite a wealth of traditions of stylistics and narrative analysis, in Tanzanian </w:t>
      </w:r>
      <w:r w:rsidR="00E91703" w:rsidRPr="001A548B">
        <w:rPr>
          <w:rFonts w:ascii="Times New Roman" w:eastAsia="Times New Roman" w:hAnsi="Times New Roman" w:cs="Times New Roman"/>
          <w:color w:val="000000" w:themeColor="text1"/>
          <w:kern w:val="0"/>
          <w14:ligatures w14:val="none"/>
        </w:rPr>
        <w:t>contexts.</w:t>
      </w:r>
      <w:r w:rsidRPr="001A548B">
        <w:rPr>
          <w:rFonts w:ascii="Times New Roman" w:eastAsia="Times New Roman" w:hAnsi="Times New Roman" w:cs="Times New Roman"/>
          <w:color w:val="000000" w:themeColor="text1"/>
          <w:kern w:val="0"/>
          <w14:ligatures w14:val="none"/>
        </w:rPr>
        <w:t xml:space="preserve"> </w:t>
      </w:r>
      <w:r w:rsidR="00E91703"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The </w:t>
      </w:r>
      <w:r w:rsidR="00E91703" w:rsidRPr="001A548B">
        <w:rPr>
          <w:rFonts w:ascii="Times New Roman" w:eastAsia="Times New Roman" w:hAnsi="Times New Roman" w:cs="Times New Roman"/>
          <w:color w:val="000000" w:themeColor="text1"/>
          <w:kern w:val="0"/>
          <w14:ligatures w14:val="none"/>
        </w:rPr>
        <w:t>study</w:t>
      </w:r>
      <w:r w:rsidRPr="001A548B">
        <w:rPr>
          <w:rFonts w:ascii="Times New Roman" w:eastAsia="Times New Roman" w:hAnsi="Times New Roman" w:cs="Times New Roman"/>
          <w:color w:val="000000" w:themeColor="text1"/>
          <w:kern w:val="0"/>
          <w14:ligatures w14:val="none"/>
        </w:rPr>
        <w:t xml:space="preserve"> examined a clause-based textual analysis through categorising the clauses according to Halliday’s six process types: material, mental, relational, behavioural, verbal, and existential, respectively. Frequencies were </w:t>
      </w:r>
      <w:r w:rsidR="00E91703" w:rsidRPr="001A548B">
        <w:rPr>
          <w:rFonts w:ascii="Times New Roman" w:eastAsia="Times New Roman" w:hAnsi="Times New Roman" w:cs="Times New Roman"/>
          <w:color w:val="000000" w:themeColor="text1"/>
          <w:kern w:val="0"/>
          <w14:ligatures w14:val="none"/>
        </w:rPr>
        <w:t>standardised</w:t>
      </w:r>
      <w:r w:rsidRPr="001A548B">
        <w:rPr>
          <w:rFonts w:ascii="Times New Roman" w:eastAsia="Times New Roman" w:hAnsi="Times New Roman" w:cs="Times New Roman"/>
          <w:color w:val="000000" w:themeColor="text1"/>
          <w:kern w:val="0"/>
          <w14:ligatures w14:val="none"/>
        </w:rPr>
        <w:t xml:space="preserve"> for descriptive patterns and qualitative interpretations were used to relate linguistic </w:t>
      </w:r>
      <w:r w:rsidR="00E91703" w:rsidRPr="001A548B">
        <w:rPr>
          <w:rFonts w:ascii="Times New Roman" w:eastAsia="Times New Roman" w:hAnsi="Times New Roman" w:cs="Times New Roman"/>
          <w:color w:val="000000" w:themeColor="text1"/>
          <w:kern w:val="0"/>
          <w14:ligatures w14:val="none"/>
        </w:rPr>
        <w:t>behaviour</w:t>
      </w:r>
      <w:r w:rsidRPr="001A548B">
        <w:rPr>
          <w:rFonts w:ascii="Times New Roman" w:eastAsia="Times New Roman" w:hAnsi="Times New Roman" w:cs="Times New Roman"/>
          <w:color w:val="000000" w:themeColor="text1"/>
          <w:kern w:val="0"/>
          <w14:ligatures w14:val="none"/>
        </w:rPr>
        <w:t xml:space="preserve"> to story signification.</w:t>
      </w:r>
      <w:r w:rsidR="00E91703"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The results indicated the prevalence of behavioural definitions </w:t>
      </w:r>
      <w:r w:rsidRPr="001A548B">
        <w:rPr>
          <w:rFonts w:ascii="Times New Roman" w:eastAsia="Times New Roman" w:hAnsi="Times New Roman" w:cs="Times New Roman"/>
          <w:color w:val="000000" w:themeColor="text1"/>
          <w:kern w:val="0"/>
          <w14:ligatures w14:val="none"/>
        </w:rPr>
        <w:lastRenderedPageBreak/>
        <w:t xml:space="preserve">(57%) that represent Rehema as a reactor who responds to outward physical and emotional stimuli. Material processes (19%) evinced endurance and labour over transformation, and mental processes (10%) and verbal processes (11%) were subsidiary, demonstrating a muted interiority and a lack of negotiating agency. Relational (3%) and existential (0%) processes were very limited or non-existent, indicating that the story was </w:t>
      </w:r>
      <w:r w:rsidR="00E91703" w:rsidRPr="001A548B">
        <w:rPr>
          <w:rFonts w:ascii="Times New Roman" w:eastAsia="Times New Roman" w:hAnsi="Times New Roman" w:cs="Times New Roman"/>
          <w:color w:val="000000" w:themeColor="text1"/>
          <w:kern w:val="0"/>
          <w14:ligatures w14:val="none"/>
        </w:rPr>
        <w:t>predominantly</w:t>
      </w:r>
      <w:r w:rsidRPr="001A548B">
        <w:rPr>
          <w:rFonts w:ascii="Times New Roman" w:eastAsia="Times New Roman" w:hAnsi="Times New Roman" w:cs="Times New Roman"/>
          <w:color w:val="000000" w:themeColor="text1"/>
          <w:kern w:val="0"/>
          <w14:ligatures w14:val="none"/>
        </w:rPr>
        <w:t xml:space="preserve"> about what occurs in ‘real’ life and is observed. Combined, these decisions portray Rehema as a subject of limited agency, reflecting the socio-economic inferiority of domestic employees.</w:t>
      </w:r>
    </w:p>
    <w:p w14:paraId="04539C6F" w14:textId="0E5FA10F"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w:t>
      </w:r>
      <w:r w:rsidR="00E91703" w:rsidRPr="001A548B">
        <w:rPr>
          <w:rFonts w:ascii="Times New Roman" w:eastAsia="Times New Roman" w:hAnsi="Times New Roman" w:cs="Times New Roman"/>
          <w:color w:val="000000" w:themeColor="text1"/>
          <w:kern w:val="0"/>
          <w14:ligatures w14:val="none"/>
        </w:rPr>
        <w:t xml:space="preserve">study, </w:t>
      </w:r>
      <w:r w:rsidRPr="001A548B">
        <w:rPr>
          <w:rFonts w:ascii="Times New Roman" w:eastAsia="Times New Roman" w:hAnsi="Times New Roman" w:cs="Times New Roman"/>
          <w:color w:val="000000" w:themeColor="text1"/>
          <w:kern w:val="0"/>
          <w14:ligatures w14:val="none"/>
        </w:rPr>
        <w:t>therefore</w:t>
      </w:r>
      <w:r w:rsidR="00E91703"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argues that transitivity analysis is a rich tool for understanding how </w:t>
      </w:r>
      <w:r w:rsidR="00E91703" w:rsidRPr="001A548B">
        <w:rPr>
          <w:rFonts w:ascii="Times New Roman" w:eastAsia="Times New Roman" w:hAnsi="Times New Roman" w:cs="Times New Roman"/>
          <w:color w:val="000000" w:themeColor="text1"/>
          <w:kern w:val="0"/>
          <w14:ligatures w14:val="none"/>
        </w:rPr>
        <w:t>Tanzanian</w:t>
      </w:r>
      <w:r w:rsidRPr="001A548B">
        <w:rPr>
          <w:rFonts w:ascii="Times New Roman" w:eastAsia="Times New Roman" w:hAnsi="Times New Roman" w:cs="Times New Roman"/>
          <w:color w:val="000000" w:themeColor="text1"/>
          <w:kern w:val="0"/>
          <w14:ligatures w14:val="none"/>
        </w:rPr>
        <w:t xml:space="preserve"> fiction embeds gender, power and social marginality. Combining its attention to local features of textual data with global and African scholarship, it works on two levels to develop systemic functional stylistics and </w:t>
      </w:r>
      <w:r w:rsidR="00E91703" w:rsidRPr="001A548B">
        <w:rPr>
          <w:rFonts w:ascii="Times New Roman" w:eastAsia="Times New Roman" w:hAnsi="Times New Roman" w:cs="Times New Roman"/>
          <w:color w:val="000000" w:themeColor="text1"/>
          <w:kern w:val="0"/>
          <w14:ligatures w14:val="none"/>
        </w:rPr>
        <w:t>literary linguistic</w:t>
      </w:r>
      <w:r w:rsidRPr="001A548B">
        <w:rPr>
          <w:rFonts w:ascii="Times New Roman" w:eastAsia="Times New Roman" w:hAnsi="Times New Roman" w:cs="Times New Roman"/>
          <w:color w:val="000000" w:themeColor="text1"/>
          <w:kern w:val="0"/>
          <w14:ligatures w14:val="none"/>
        </w:rPr>
        <w:t xml:space="preserve"> scholarship on East African texts.</w:t>
      </w:r>
      <w:r w:rsidR="00E91703" w:rsidRPr="001A548B">
        <w:rPr>
          <w:rFonts w:ascii="Times New Roman" w:eastAsia="Times New Roman" w:hAnsi="Times New Roman" w:cs="Times New Roman"/>
          <w:color w:val="000000" w:themeColor="text1"/>
          <w:kern w:val="0"/>
          <w14:ligatures w14:val="none"/>
        </w:rPr>
        <w:t xml:space="preserve"> It also</w:t>
      </w:r>
      <w:r w:rsidRPr="001A548B">
        <w:rPr>
          <w:rFonts w:ascii="Times New Roman" w:eastAsia="Times New Roman" w:hAnsi="Times New Roman" w:cs="Times New Roman"/>
          <w:color w:val="000000" w:themeColor="text1"/>
          <w:kern w:val="0"/>
          <w14:ligatures w14:val="none"/>
        </w:rPr>
        <w:t xml:space="preserve"> highlights the importance of additional Tanzanian applications of SFL to deepen insights into the ways language is used to structure storylines and construct representations of culture.</w:t>
      </w:r>
    </w:p>
    <w:p w14:paraId="3593B0F8" w14:textId="2DFE0005" w:rsidR="00400C4D" w:rsidRPr="001A548B" w:rsidRDefault="00400C4D"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sz w:val="27"/>
          <w:szCs w:val="27"/>
          <w14:ligatures w14:val="none"/>
        </w:rPr>
      </w:pPr>
      <w:r w:rsidRPr="001A548B">
        <w:rPr>
          <w:rFonts w:ascii="Times New Roman" w:eastAsia="Times New Roman" w:hAnsi="Times New Roman" w:cs="Times New Roman"/>
          <w:b/>
          <w:bCs/>
          <w:color w:val="000000" w:themeColor="text1"/>
          <w:kern w:val="0"/>
          <w:sz w:val="27"/>
          <w:szCs w:val="27"/>
          <w14:ligatures w14:val="none"/>
        </w:rPr>
        <w:t>References</w:t>
      </w:r>
    </w:p>
    <w:p w14:paraId="2BA9CDDD" w14:textId="728C298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Adegoju, A. 2009. Rhetoric in conflict-related discourse: A study of Wole Soyinka’s </w:t>
      </w:r>
      <w:r w:rsidRPr="001A548B">
        <w:rPr>
          <w:rStyle w:val="Emphasis"/>
          <w:rFonts w:eastAsiaTheme="majorEastAsia"/>
          <w:color w:val="000000" w:themeColor="text1"/>
        </w:rPr>
        <w:t>The Man Died</w:t>
      </w:r>
      <w:r w:rsidRPr="001A548B">
        <w:rPr>
          <w:color w:val="000000" w:themeColor="text1"/>
        </w:rPr>
        <w:t xml:space="preserve">. </w:t>
      </w:r>
      <w:r w:rsidRPr="001A548B">
        <w:rPr>
          <w:rStyle w:val="Emphasis"/>
          <w:rFonts w:eastAsiaTheme="majorEastAsia"/>
          <w:color w:val="000000" w:themeColor="text1"/>
        </w:rPr>
        <w:t>Linguistik Online, 37</w:t>
      </w:r>
      <w:r w:rsidRPr="001A548B">
        <w:rPr>
          <w:color w:val="000000" w:themeColor="text1"/>
        </w:rPr>
        <w:t xml:space="preserve">(1).  </w:t>
      </w:r>
      <w:hyperlink r:id="rId6" w:history="1">
        <w:r w:rsidRPr="001A548B">
          <w:rPr>
            <w:rStyle w:val="Hyperlink"/>
            <w:color w:val="000000" w:themeColor="text1"/>
          </w:rPr>
          <w:t>https://doi.org/10.13092/lo.37.1253</w:t>
        </w:r>
      </w:hyperlink>
    </w:p>
    <w:p w14:paraId="2C4B624A" w14:textId="4D4FF0B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Akinwotu, S. A. 2019. Transitivity analysis of female characters in selected African drama texts. </w:t>
      </w:r>
      <w:r w:rsidRPr="001A548B">
        <w:rPr>
          <w:rStyle w:val="Emphasis"/>
          <w:rFonts w:eastAsiaTheme="majorEastAsia"/>
          <w:color w:val="000000" w:themeColor="text1"/>
        </w:rPr>
        <w:t>International Journal of Language Studies, 13</w:t>
      </w:r>
      <w:r w:rsidRPr="001A548B">
        <w:rPr>
          <w:color w:val="000000" w:themeColor="text1"/>
        </w:rPr>
        <w:t>(2)</w:t>
      </w:r>
      <w:r w:rsidR="00BF1681">
        <w:rPr>
          <w:color w:val="000000" w:themeColor="text1"/>
        </w:rPr>
        <w:t>:</w:t>
      </w:r>
      <w:r w:rsidRPr="001A548B">
        <w:rPr>
          <w:color w:val="000000" w:themeColor="text1"/>
        </w:rPr>
        <w:t xml:space="preserve"> 59–78.</w:t>
      </w:r>
    </w:p>
    <w:p w14:paraId="630683E7" w14:textId="587A7EC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Aliyu, Y. M. 2025. A transitivity analysis of Adichie’s Zikora. </w:t>
      </w:r>
      <w:r w:rsidRPr="001A548B">
        <w:rPr>
          <w:i/>
          <w:iCs/>
          <w:color w:val="000000" w:themeColor="text1"/>
        </w:rPr>
        <w:t>Gender &amp; Behaviour,</w:t>
      </w:r>
      <w:r w:rsidRPr="001A548B">
        <w:rPr>
          <w:color w:val="000000" w:themeColor="text1"/>
        </w:rPr>
        <w:t xml:space="preserve"> 23(1)</w:t>
      </w:r>
      <w:r w:rsidR="003E117C">
        <w:rPr>
          <w:color w:val="000000" w:themeColor="text1"/>
        </w:rPr>
        <w:t>:</w:t>
      </w:r>
      <w:r w:rsidRPr="001A548B">
        <w:rPr>
          <w:color w:val="000000" w:themeColor="text1"/>
        </w:rPr>
        <w:t xml:space="preserve"> 23014–23020.</w:t>
      </w:r>
    </w:p>
    <w:p w14:paraId="0BFF18A7" w14:textId="69DEA008"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Al-Matarneh, R. 2021. A transitivity analysis of female agency in contemporary Arabic novels. </w:t>
      </w:r>
      <w:r w:rsidRPr="001A548B">
        <w:rPr>
          <w:rStyle w:val="Emphasis"/>
          <w:rFonts w:eastAsiaTheme="majorEastAsia"/>
          <w:color w:val="000000" w:themeColor="text1"/>
        </w:rPr>
        <w:t>Advances in Language and Literary Studies, 12</w:t>
      </w:r>
      <w:r w:rsidRPr="001A548B">
        <w:rPr>
          <w:color w:val="000000" w:themeColor="text1"/>
        </w:rPr>
        <w:t>(3)</w:t>
      </w:r>
      <w:r w:rsidR="003E117C">
        <w:rPr>
          <w:color w:val="000000" w:themeColor="text1"/>
        </w:rPr>
        <w:t>:</w:t>
      </w:r>
      <w:r w:rsidRPr="001A548B">
        <w:rPr>
          <w:color w:val="000000" w:themeColor="text1"/>
        </w:rPr>
        <w:t xml:space="preserve"> 45–54.</w:t>
      </w:r>
    </w:p>
    <w:p w14:paraId="54616914" w14:textId="755EDD19" w:rsidR="00765A56" w:rsidRPr="001A548B" w:rsidRDefault="00765A56" w:rsidP="001A548B">
      <w:pPr>
        <w:spacing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Amoussou, F., &amp; Allagbé, A. 2018. Character representation through transitivity patterns in African women’s writing. </w:t>
      </w:r>
      <w:r w:rsidRPr="001A548B">
        <w:rPr>
          <w:rFonts w:ascii="Times New Roman" w:eastAsia="Times New Roman" w:hAnsi="Times New Roman" w:cs="Times New Roman"/>
          <w:i/>
          <w:iCs/>
          <w:color w:val="000000" w:themeColor="text1"/>
          <w:kern w:val="0"/>
          <w14:ligatures w14:val="none"/>
        </w:rPr>
        <w:t>Research in African Literatures, 49</w:t>
      </w:r>
      <w:r w:rsidRPr="001A548B">
        <w:rPr>
          <w:rFonts w:ascii="Times New Roman" w:eastAsia="Times New Roman" w:hAnsi="Times New Roman" w:cs="Times New Roman"/>
          <w:color w:val="000000" w:themeColor="text1"/>
          <w:kern w:val="0"/>
          <w14:ligatures w14:val="none"/>
        </w:rPr>
        <w:t>(3)</w:t>
      </w:r>
      <w:r w:rsidR="003E117C">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1–18. </w:t>
      </w:r>
      <w:hyperlink r:id="rId7" w:history="1">
        <w:r w:rsidRPr="001A548B">
          <w:rPr>
            <w:rStyle w:val="Hyperlink"/>
            <w:rFonts w:ascii="Times New Roman" w:eastAsia="Times New Roman" w:hAnsi="Times New Roman" w:cs="Times New Roman"/>
            <w:color w:val="000000" w:themeColor="text1"/>
            <w:kern w:val="0"/>
            <w14:ligatures w14:val="none"/>
          </w:rPr>
          <w:t>https://doi.org/10.2979/reseafrilite.49.3.01</w:t>
        </w:r>
      </w:hyperlink>
    </w:p>
    <w:p w14:paraId="3808F6C3" w14:textId="7E937CA1"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Bakhtin, M. 1981. </w:t>
      </w:r>
      <w:r w:rsidRPr="001A548B">
        <w:rPr>
          <w:rStyle w:val="Emphasis"/>
          <w:rFonts w:eastAsiaTheme="majorEastAsia"/>
          <w:color w:val="000000" w:themeColor="text1"/>
        </w:rPr>
        <w:t>The dialogic imagination</w:t>
      </w:r>
      <w:r w:rsidRPr="001A548B">
        <w:rPr>
          <w:color w:val="000000" w:themeColor="text1"/>
        </w:rPr>
        <w:t>. University of Texas Press.</w:t>
      </w:r>
    </w:p>
    <w:p w14:paraId="4AEF7027" w14:textId="3F6C5A2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Bloor, T., &amp; Bloor, M. 2013. </w:t>
      </w:r>
      <w:r w:rsidRPr="001A548B">
        <w:rPr>
          <w:rStyle w:val="Emphasis"/>
          <w:rFonts w:eastAsiaTheme="majorEastAsia"/>
          <w:color w:val="000000" w:themeColor="text1"/>
        </w:rPr>
        <w:t>The functional analysis of English: A Hallidayan approach</w:t>
      </w:r>
      <w:r w:rsidRPr="001A548B">
        <w:rPr>
          <w:color w:val="000000" w:themeColor="text1"/>
        </w:rPr>
        <w:t>. Routledge.</w:t>
      </w:r>
    </w:p>
    <w:p w14:paraId="5EAE75C9" w14:textId="7DB2D71C"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t xml:space="preserve">Boukari, N., &amp; Koussouhon, L. A. 2018. </w:t>
      </w:r>
      <w:r w:rsidRPr="001A548B">
        <w:rPr>
          <w:color w:val="000000" w:themeColor="text1"/>
        </w:rPr>
        <w:t xml:space="preserve">Transitivity analysis of Gabriel Okara’s “The Voice”. </w:t>
      </w:r>
      <w:r w:rsidRPr="001A548B">
        <w:rPr>
          <w:i/>
          <w:iCs/>
          <w:color w:val="000000" w:themeColor="text1"/>
        </w:rPr>
        <w:t>International Journal on Studies in English Language and Literature</w:t>
      </w:r>
      <w:r w:rsidRPr="001A548B">
        <w:rPr>
          <w:color w:val="000000" w:themeColor="text1"/>
        </w:rPr>
        <w:t>, 6(4), 1–15.</w:t>
      </w:r>
    </w:p>
    <w:p w14:paraId="65E99641" w14:textId="198FDF69"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Budi, F. S., Rahmawati, I. N., &amp; Rini, Y. P. 2024. Transitivity analysis in narrative writing of Grade 9 students of junior high school. </w:t>
      </w:r>
      <w:r w:rsidRPr="001A548B">
        <w:rPr>
          <w:i/>
          <w:iCs/>
          <w:color w:val="000000" w:themeColor="text1"/>
        </w:rPr>
        <w:t>IDEAS: Journal on English Language Teaching and Learning, Linguistics and Literature</w:t>
      </w:r>
      <w:r w:rsidRPr="001A548B">
        <w:rPr>
          <w:color w:val="000000" w:themeColor="text1"/>
        </w:rPr>
        <w:t>, 12(2)</w:t>
      </w:r>
      <w:r w:rsidR="003E117C">
        <w:rPr>
          <w:color w:val="000000" w:themeColor="text1"/>
        </w:rPr>
        <w:t>:</w:t>
      </w:r>
      <w:r w:rsidRPr="001A548B">
        <w:rPr>
          <w:color w:val="000000" w:themeColor="text1"/>
        </w:rPr>
        <w:t xml:space="preserve"> 1861–1882. </w:t>
      </w:r>
      <w:hyperlink r:id="rId8" w:history="1">
        <w:r w:rsidRPr="001A548B">
          <w:rPr>
            <w:rStyle w:val="Hyperlink"/>
            <w:color w:val="000000" w:themeColor="text1"/>
          </w:rPr>
          <w:t>https://doi.org/10.24256/ideas.v12i2.4527</w:t>
        </w:r>
      </w:hyperlink>
    </w:p>
    <w:p w14:paraId="4D362D94" w14:textId="589D232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Butler, J. 1990. </w:t>
      </w:r>
      <w:r w:rsidRPr="001A548B">
        <w:rPr>
          <w:rStyle w:val="Emphasis"/>
          <w:rFonts w:eastAsiaTheme="majorEastAsia"/>
          <w:color w:val="000000" w:themeColor="text1"/>
        </w:rPr>
        <w:t>Gender trouble: Feminism and the subversion of identity</w:t>
      </w:r>
      <w:r w:rsidRPr="001A548B">
        <w:rPr>
          <w:color w:val="000000" w:themeColor="text1"/>
        </w:rPr>
        <w:t>. Routledge.</w:t>
      </w:r>
    </w:p>
    <w:p w14:paraId="327F6B2C" w14:textId="637C73F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Eggins, S. 2004. </w:t>
      </w:r>
      <w:r w:rsidRPr="001A548B">
        <w:rPr>
          <w:rStyle w:val="Emphasis"/>
          <w:rFonts w:eastAsiaTheme="majorEastAsia"/>
          <w:color w:val="000000" w:themeColor="text1"/>
        </w:rPr>
        <w:t>An introduction to systemic functional linguistics</w:t>
      </w:r>
      <w:r w:rsidRPr="001A548B">
        <w:rPr>
          <w:color w:val="000000" w:themeColor="text1"/>
        </w:rPr>
        <w:t xml:space="preserve"> (2nd ed.). Continuum.</w:t>
      </w:r>
    </w:p>
    <w:p w14:paraId="5D3F39BE" w14:textId="32E9AA51"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Eggins, S. 2004. </w:t>
      </w:r>
      <w:r w:rsidRPr="001A548B">
        <w:rPr>
          <w:rFonts w:ascii="Times New Roman" w:eastAsia="Times New Roman" w:hAnsi="Times New Roman" w:cs="Times New Roman"/>
          <w:i/>
          <w:iCs/>
          <w:color w:val="000000" w:themeColor="text1"/>
          <w:kern w:val="0"/>
          <w14:ligatures w14:val="none"/>
        </w:rPr>
        <w:t>An introduction to systemic functional linguistics</w:t>
      </w:r>
      <w:r w:rsidRPr="001A548B">
        <w:rPr>
          <w:rFonts w:ascii="Times New Roman" w:eastAsia="Times New Roman" w:hAnsi="Times New Roman" w:cs="Times New Roman"/>
          <w:color w:val="000000" w:themeColor="text1"/>
          <w:kern w:val="0"/>
          <w14:ligatures w14:val="none"/>
        </w:rPr>
        <w:t xml:space="preserve"> (2nd ed.). London: Continuum.</w:t>
      </w:r>
    </w:p>
    <w:p w14:paraId="5D972828" w14:textId="79ABD12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Fairclough, N. 1992. </w:t>
      </w:r>
      <w:r w:rsidRPr="001A548B">
        <w:rPr>
          <w:rStyle w:val="Emphasis"/>
          <w:rFonts w:eastAsiaTheme="majorEastAsia"/>
          <w:color w:val="000000" w:themeColor="text1"/>
        </w:rPr>
        <w:t>Discourse and social change</w:t>
      </w:r>
      <w:r w:rsidRPr="001A548B">
        <w:rPr>
          <w:color w:val="000000" w:themeColor="text1"/>
        </w:rPr>
        <w:t>. Polity Press.</w:t>
      </w:r>
    </w:p>
    <w:p w14:paraId="0AEC6339" w14:textId="7A9C95A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Fairclough, N. 2001. </w:t>
      </w:r>
      <w:r w:rsidRPr="001A548B">
        <w:rPr>
          <w:rStyle w:val="Emphasis"/>
          <w:rFonts w:eastAsiaTheme="majorEastAsia"/>
          <w:color w:val="000000" w:themeColor="text1"/>
        </w:rPr>
        <w:t>Language and power</w:t>
      </w:r>
      <w:r w:rsidRPr="001A548B">
        <w:rPr>
          <w:color w:val="000000" w:themeColor="text1"/>
        </w:rPr>
        <w:t xml:space="preserve"> (2nd ed.). Pearson.</w:t>
      </w:r>
    </w:p>
    <w:p w14:paraId="29A72945" w14:textId="2C84A4A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Fang, Y., &amp; Dong, M. 2020. Transitivity in narrative fiction: Constructing fictional identities. </w:t>
      </w:r>
      <w:r w:rsidRPr="001A548B">
        <w:rPr>
          <w:rStyle w:val="Emphasis"/>
          <w:rFonts w:eastAsiaTheme="majorEastAsia"/>
          <w:color w:val="000000" w:themeColor="text1"/>
        </w:rPr>
        <w:t>Language and Literature, 29</w:t>
      </w:r>
      <w:r w:rsidRPr="001A548B">
        <w:rPr>
          <w:color w:val="000000" w:themeColor="text1"/>
        </w:rPr>
        <w:t>(2)</w:t>
      </w:r>
      <w:r w:rsidR="003E117C">
        <w:rPr>
          <w:color w:val="000000" w:themeColor="text1"/>
        </w:rPr>
        <w:t>:</w:t>
      </w:r>
      <w:r w:rsidRPr="001A548B">
        <w:rPr>
          <w:color w:val="000000" w:themeColor="text1"/>
        </w:rPr>
        <w:t>103–123.</w:t>
      </w:r>
    </w:p>
    <w:p w14:paraId="0CE71250" w14:textId="4E92519A"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Fowler, R. 1996. </w:t>
      </w:r>
      <w:r w:rsidRPr="001A548B">
        <w:rPr>
          <w:rFonts w:ascii="Times New Roman" w:eastAsia="Times New Roman" w:hAnsi="Times New Roman" w:cs="Times New Roman"/>
          <w:i/>
          <w:iCs/>
          <w:color w:val="000000" w:themeColor="text1"/>
          <w:kern w:val="0"/>
          <w14:ligatures w14:val="none"/>
        </w:rPr>
        <w:t>Linguistic criticism</w:t>
      </w:r>
      <w:r w:rsidRPr="001A548B">
        <w:rPr>
          <w:rFonts w:ascii="Times New Roman" w:eastAsia="Times New Roman" w:hAnsi="Times New Roman" w:cs="Times New Roman"/>
          <w:color w:val="000000" w:themeColor="text1"/>
          <w:kern w:val="0"/>
          <w14:ligatures w14:val="none"/>
        </w:rPr>
        <w:t xml:space="preserve"> (2nd ed.).</w:t>
      </w:r>
      <w:r w:rsidR="003E117C">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Oxford University Press.</w:t>
      </w:r>
    </w:p>
    <w:p w14:paraId="17B63D2A" w14:textId="725F5F53"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1971. Linguistic function and literary style: An inquiry into the language of William Golding’s </w:t>
      </w:r>
      <w:r w:rsidRPr="001A548B">
        <w:rPr>
          <w:rStyle w:val="Emphasis"/>
          <w:rFonts w:eastAsiaTheme="majorEastAsia"/>
          <w:color w:val="000000" w:themeColor="text1"/>
        </w:rPr>
        <w:t>The Inheritors</w:t>
      </w:r>
      <w:r w:rsidRPr="001A548B">
        <w:rPr>
          <w:color w:val="000000" w:themeColor="text1"/>
        </w:rPr>
        <w:t xml:space="preserve">. In S. Chatman (Ed.), </w:t>
      </w:r>
      <w:r w:rsidRPr="001A548B">
        <w:rPr>
          <w:rStyle w:val="Emphasis"/>
          <w:rFonts w:eastAsiaTheme="majorEastAsia"/>
          <w:color w:val="000000" w:themeColor="text1"/>
        </w:rPr>
        <w:t>Literary style: A symposium</w:t>
      </w:r>
      <w:r w:rsidRPr="001A548B">
        <w:rPr>
          <w:color w:val="000000" w:themeColor="text1"/>
        </w:rPr>
        <w:t xml:space="preserve"> (pp. 330–365). Oxford University Press.</w:t>
      </w:r>
    </w:p>
    <w:p w14:paraId="45552D47" w14:textId="521C2ED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1994. </w:t>
      </w:r>
      <w:r w:rsidRPr="001A548B">
        <w:rPr>
          <w:rStyle w:val="Emphasis"/>
          <w:rFonts w:eastAsiaTheme="majorEastAsia"/>
          <w:color w:val="000000" w:themeColor="text1"/>
        </w:rPr>
        <w:t>An introduction to functional grammar</w:t>
      </w:r>
      <w:r w:rsidRPr="001A548B">
        <w:rPr>
          <w:color w:val="000000" w:themeColor="text1"/>
        </w:rPr>
        <w:t xml:space="preserve"> (2nd ed.). Edward Arnold.</w:t>
      </w:r>
    </w:p>
    <w:p w14:paraId="6FB6DF65" w14:textId="555D0A18"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&amp; Matthiessen, C. M. I. M. 2014. </w:t>
      </w:r>
      <w:r w:rsidRPr="001A548B">
        <w:rPr>
          <w:rStyle w:val="Emphasis"/>
          <w:rFonts w:eastAsiaTheme="majorEastAsia"/>
          <w:color w:val="000000" w:themeColor="text1"/>
        </w:rPr>
        <w:t>Halliday’s introduction to functional grammar</w:t>
      </w:r>
      <w:r w:rsidRPr="001A548B">
        <w:rPr>
          <w:color w:val="000000" w:themeColor="text1"/>
        </w:rPr>
        <w:t xml:space="preserve"> (4th ed.). Routledge.</w:t>
      </w:r>
    </w:p>
    <w:p w14:paraId="55A52764" w14:textId="0C850E7D"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Hasan, R. 1989. </w:t>
      </w:r>
      <w:r w:rsidRPr="001A548B">
        <w:rPr>
          <w:rFonts w:ascii="Times New Roman" w:eastAsia="Times New Roman" w:hAnsi="Times New Roman" w:cs="Times New Roman"/>
          <w:i/>
          <w:iCs/>
          <w:color w:val="000000" w:themeColor="text1"/>
          <w:kern w:val="0"/>
          <w14:ligatures w14:val="none"/>
        </w:rPr>
        <w:t>Linguistics, language and verbal art</w:t>
      </w:r>
      <w:r w:rsidRPr="001A548B">
        <w:rPr>
          <w:rFonts w:ascii="Times New Roman" w:eastAsia="Times New Roman" w:hAnsi="Times New Roman" w:cs="Times New Roman"/>
          <w:color w:val="000000" w:themeColor="text1"/>
          <w:kern w:val="0"/>
          <w14:ligatures w14:val="none"/>
        </w:rPr>
        <w:t>. Oxford: Oxford University Press.</w:t>
      </w:r>
    </w:p>
    <w:p w14:paraId="3BE5115A" w14:textId="6F3F67CE"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Hoover, D. L. 2020. Patterns and experiments in transitivity: A corpus stylistic approach. </w:t>
      </w:r>
      <w:r w:rsidRPr="001A548B">
        <w:rPr>
          <w:rStyle w:val="Emphasis"/>
          <w:rFonts w:eastAsiaTheme="majorEastAsia"/>
          <w:color w:val="000000" w:themeColor="text1"/>
        </w:rPr>
        <w:t>Journal of Literary Semantics, 49</w:t>
      </w:r>
      <w:r w:rsidRPr="001A548B">
        <w:rPr>
          <w:color w:val="000000" w:themeColor="text1"/>
        </w:rPr>
        <w:t>(1)</w:t>
      </w:r>
      <w:r w:rsidR="003E117C">
        <w:rPr>
          <w:color w:val="000000" w:themeColor="text1"/>
        </w:rPr>
        <w:t>:</w:t>
      </w:r>
      <w:r w:rsidRPr="001A548B">
        <w:rPr>
          <w:color w:val="000000" w:themeColor="text1"/>
        </w:rPr>
        <w:t xml:space="preserve"> 1–23.</w:t>
      </w:r>
    </w:p>
    <w:p w14:paraId="5DD7845B" w14:textId="2A68F4B6" w:rsidR="00765A56" w:rsidRPr="001A548B" w:rsidRDefault="00765A56" w:rsidP="001A548B">
      <w:pPr>
        <w:pStyle w:val="NormalWeb"/>
        <w:spacing w:line="480" w:lineRule="auto"/>
        <w:ind w:left="864" w:hanging="864"/>
        <w:jc w:val="both"/>
        <w:rPr>
          <w:color w:val="000000" w:themeColor="text1"/>
        </w:rPr>
      </w:pPr>
      <w:r w:rsidRPr="00BF1681">
        <w:rPr>
          <w:color w:val="000000" w:themeColor="text1"/>
        </w:rPr>
        <w:t xml:space="preserve">Ijezie-Asoegwu, G. &amp; Okeke, F. A. 2025. </w:t>
      </w:r>
      <w:r w:rsidRPr="001A548B">
        <w:rPr>
          <w:color w:val="000000" w:themeColor="text1"/>
        </w:rPr>
        <w:t xml:space="preserve">Transitivity analysis of proverbs in Odili Ujubuonu’s Pregnancy of the Gods. </w:t>
      </w:r>
      <w:r w:rsidRPr="001A548B">
        <w:rPr>
          <w:i/>
          <w:iCs/>
          <w:color w:val="000000" w:themeColor="text1"/>
        </w:rPr>
        <w:t>Ansu Journal of Language and Literary Studies</w:t>
      </w:r>
      <w:r w:rsidRPr="001A548B">
        <w:rPr>
          <w:color w:val="000000" w:themeColor="text1"/>
        </w:rPr>
        <w:t>, 5(1)</w:t>
      </w:r>
      <w:r w:rsidR="003E117C">
        <w:rPr>
          <w:color w:val="000000" w:themeColor="text1"/>
        </w:rPr>
        <w:t>:</w:t>
      </w:r>
      <w:r w:rsidRPr="001A548B">
        <w:rPr>
          <w:color w:val="000000" w:themeColor="text1"/>
        </w:rPr>
        <w:t xml:space="preserve"> 158-177.</w:t>
      </w:r>
    </w:p>
    <w:p w14:paraId="2FFD8F05" w14:textId="41FE7EC5"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Jeffries, L. 2010. </w:t>
      </w:r>
      <w:r w:rsidRPr="001A548B">
        <w:rPr>
          <w:rFonts w:ascii="Times New Roman" w:eastAsia="Times New Roman" w:hAnsi="Times New Roman" w:cs="Times New Roman"/>
          <w:i/>
          <w:iCs/>
          <w:color w:val="000000" w:themeColor="text1"/>
          <w:kern w:val="0"/>
          <w14:ligatures w14:val="none"/>
        </w:rPr>
        <w:t>Critical stylistics: The power of English</w:t>
      </w:r>
      <w:r w:rsidRPr="001A548B">
        <w:rPr>
          <w:rFonts w:ascii="Times New Roman" w:eastAsia="Times New Roman" w:hAnsi="Times New Roman" w:cs="Times New Roman"/>
          <w:color w:val="000000" w:themeColor="text1"/>
          <w:kern w:val="0"/>
          <w14:ligatures w14:val="none"/>
        </w:rPr>
        <w:t>. Basingstoke: Palgrave Macmillan.</w:t>
      </w:r>
    </w:p>
    <w:p w14:paraId="2D64853D" w14:textId="5D9D0335"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lastRenderedPageBreak/>
        <w:t xml:space="preserve">Koussouhon, A. L., &amp; Dossoumou, A. M. 2015. </w:t>
      </w:r>
      <w:r w:rsidRPr="001A548B">
        <w:rPr>
          <w:color w:val="000000" w:themeColor="text1"/>
        </w:rPr>
        <w:t xml:space="preserve">Characterization in Chinua Achebe’s </w:t>
      </w:r>
      <w:r w:rsidRPr="001A548B">
        <w:rPr>
          <w:rStyle w:val="Emphasis"/>
          <w:rFonts w:eastAsiaTheme="majorEastAsia"/>
          <w:color w:val="000000" w:themeColor="text1"/>
        </w:rPr>
        <w:t>Things Fall Apart</w:t>
      </w:r>
      <w:r w:rsidRPr="001A548B">
        <w:rPr>
          <w:color w:val="000000" w:themeColor="text1"/>
        </w:rPr>
        <w:t xml:space="preserve">: A transitivity analysis. </w:t>
      </w:r>
      <w:r w:rsidRPr="001A548B">
        <w:rPr>
          <w:rStyle w:val="Emphasis"/>
          <w:rFonts w:eastAsiaTheme="majorEastAsia"/>
          <w:color w:val="000000" w:themeColor="text1"/>
        </w:rPr>
        <w:t>International Journal of Applied Linguistics and English Literature, 4</w:t>
      </w:r>
      <w:r w:rsidRPr="001A548B">
        <w:rPr>
          <w:color w:val="000000" w:themeColor="text1"/>
        </w:rPr>
        <w:t>(5)</w:t>
      </w:r>
      <w:r w:rsidR="00E80E3E">
        <w:rPr>
          <w:color w:val="000000" w:themeColor="text1"/>
        </w:rPr>
        <w:t>:</w:t>
      </w:r>
      <w:r w:rsidRPr="001A548B">
        <w:rPr>
          <w:color w:val="000000" w:themeColor="text1"/>
        </w:rPr>
        <w:t xml:space="preserve"> 129–136.</w:t>
      </w:r>
    </w:p>
    <w:p w14:paraId="04584783" w14:textId="19D33C39"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BF1681">
        <w:rPr>
          <w:rFonts w:ascii="Times New Roman" w:eastAsia="Times New Roman" w:hAnsi="Times New Roman" w:cs="Times New Roman"/>
          <w:color w:val="000000" w:themeColor="text1"/>
          <w:kern w:val="0"/>
          <w14:ligatures w14:val="none"/>
        </w:rPr>
        <w:t xml:space="preserve">Koussouhon, L. A., &amp; Dossoumou, A. M. 2022. </w:t>
      </w:r>
      <w:r w:rsidRPr="001A548B">
        <w:rPr>
          <w:rFonts w:ascii="Times New Roman" w:eastAsia="Times New Roman" w:hAnsi="Times New Roman" w:cs="Times New Roman"/>
          <w:color w:val="000000" w:themeColor="text1"/>
          <w:kern w:val="0"/>
          <w14:ligatures w14:val="none"/>
        </w:rPr>
        <w:t xml:space="preserve">Representing domestic workers through transitivity in West African fiction. </w:t>
      </w:r>
      <w:r w:rsidRPr="001A548B">
        <w:rPr>
          <w:rFonts w:ascii="Times New Roman" w:eastAsia="Times New Roman" w:hAnsi="Times New Roman" w:cs="Times New Roman"/>
          <w:i/>
          <w:iCs/>
          <w:color w:val="000000" w:themeColor="text1"/>
          <w:kern w:val="0"/>
          <w14:ligatures w14:val="none"/>
        </w:rPr>
        <w:t>International Journal of Language and Literature, 10</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33–48.</w:t>
      </w:r>
    </w:p>
    <w:p w14:paraId="49BC119B" w14:textId="1BC8A95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Landa, E. M. 2017. A study of the transitivity system in fictional narrative: A comparison of process types in Edgar Allan Poe’s short stories. Master’s thesis, Universidad Complutense de Madrid]. UCM Digital Repository. </w:t>
      </w:r>
      <w:hyperlink r:id="rId9" w:history="1">
        <w:r w:rsidRPr="001A548B">
          <w:rPr>
            <w:rStyle w:val="Hyperlink"/>
            <w:color w:val="000000" w:themeColor="text1"/>
          </w:rPr>
          <w:t>https://hdl.handle.net/20.500.14352/19918</w:t>
        </w:r>
      </w:hyperlink>
    </w:p>
    <w:p w14:paraId="4EFC36CF" w14:textId="69E5AD2D"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Lazar, M. M. 2005. </w:t>
      </w:r>
      <w:r w:rsidRPr="001A548B">
        <w:rPr>
          <w:rFonts w:ascii="Times New Roman" w:eastAsia="Times New Roman" w:hAnsi="Times New Roman" w:cs="Times New Roman"/>
          <w:i/>
          <w:iCs/>
          <w:color w:val="000000" w:themeColor="text1"/>
          <w:kern w:val="0"/>
          <w14:ligatures w14:val="none"/>
        </w:rPr>
        <w:t>Feminist critical discourse analysis: Gender, power and ideology in discourse</w:t>
      </w:r>
      <w:r w:rsidRPr="001A548B">
        <w:rPr>
          <w:rFonts w:ascii="Times New Roman" w:eastAsia="Times New Roman" w:hAnsi="Times New Roman" w:cs="Times New Roman"/>
          <w:color w:val="000000" w:themeColor="text1"/>
          <w:kern w:val="0"/>
          <w14:ligatures w14:val="none"/>
        </w:rPr>
        <w:t>. Palgrave Macmillan.</w:t>
      </w:r>
    </w:p>
    <w:p w14:paraId="3CCF7253" w14:textId="5A682F2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Leech, G., &amp; Short, M. 2007. </w:t>
      </w:r>
      <w:r w:rsidRPr="001A548B">
        <w:rPr>
          <w:rStyle w:val="Emphasis"/>
          <w:rFonts w:eastAsiaTheme="majorEastAsia"/>
          <w:color w:val="000000" w:themeColor="text1"/>
        </w:rPr>
        <w:t>Style in fiction: A linguistic introduction to English fictional prose</w:t>
      </w:r>
      <w:r w:rsidRPr="001A548B">
        <w:rPr>
          <w:color w:val="000000" w:themeColor="text1"/>
        </w:rPr>
        <w:t xml:space="preserve"> (2nd ed.). Pearson Longman.</w:t>
      </w:r>
    </w:p>
    <w:p w14:paraId="7D61ACCB" w14:textId="1CA26BFE" w:rsidR="00765A56" w:rsidRPr="001A548B" w:rsidRDefault="00937ABF" w:rsidP="001A548B">
      <w:pPr>
        <w:pStyle w:val="NormalWeb"/>
        <w:spacing w:line="480" w:lineRule="auto"/>
        <w:ind w:left="864" w:hanging="864"/>
        <w:jc w:val="both"/>
        <w:rPr>
          <w:color w:val="000000" w:themeColor="text1"/>
        </w:rPr>
      </w:pPr>
      <w:hyperlink r:id="rId10" w:tgtFrame="_blank" w:history="1"/>
      <w:r w:rsidR="00765A56" w:rsidRPr="001A548B">
        <w:rPr>
          <w:color w:val="000000" w:themeColor="text1"/>
        </w:rPr>
        <w:t xml:space="preserve">Luo, Y. 2022. The study on transitivity of scientific fiction: The Time Machine as an example. </w:t>
      </w:r>
      <w:r w:rsidR="00765A56" w:rsidRPr="001A548B">
        <w:rPr>
          <w:i/>
          <w:iCs/>
          <w:color w:val="000000" w:themeColor="text1"/>
        </w:rPr>
        <w:t>International Journal of Linguistics, Literature &amp; Translation,</w:t>
      </w:r>
      <w:r w:rsidR="00765A56" w:rsidRPr="001A548B">
        <w:rPr>
          <w:color w:val="000000" w:themeColor="text1"/>
        </w:rPr>
        <w:t xml:space="preserve"> 5(6)</w:t>
      </w:r>
      <w:r w:rsidR="00E80E3E">
        <w:rPr>
          <w:color w:val="000000" w:themeColor="text1"/>
        </w:rPr>
        <w:t>:</w:t>
      </w:r>
      <w:r w:rsidR="00765A56" w:rsidRPr="001A548B">
        <w:rPr>
          <w:color w:val="000000" w:themeColor="text1"/>
        </w:rPr>
        <w:t xml:space="preserve"> 35–41. </w:t>
      </w:r>
      <w:hyperlink r:id="rId11" w:history="1">
        <w:r w:rsidR="00765A56" w:rsidRPr="001A548B">
          <w:rPr>
            <w:rStyle w:val="Hyperlink"/>
            <w:color w:val="000000" w:themeColor="text1"/>
          </w:rPr>
          <w:t>https://doi.org/10.32996/ijllt.2022.5.6.5</w:t>
        </w:r>
      </w:hyperlink>
    </w:p>
    <w:p w14:paraId="272EF55D" w14:textId="5E11E6F9"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Mahlberg, M., &amp; McIntyre, D. 2011. A case for corpus stylistics: Ian Fleming’s </w:t>
      </w:r>
      <w:r w:rsidRPr="001A548B">
        <w:rPr>
          <w:rStyle w:val="Emphasis"/>
          <w:rFonts w:eastAsiaTheme="majorEastAsia"/>
          <w:color w:val="000000" w:themeColor="text1"/>
        </w:rPr>
        <w:t>Casino Royale</w:t>
      </w:r>
      <w:r w:rsidRPr="001A548B">
        <w:rPr>
          <w:color w:val="000000" w:themeColor="text1"/>
        </w:rPr>
        <w:t xml:space="preserve">. </w:t>
      </w:r>
      <w:r w:rsidRPr="001A548B">
        <w:rPr>
          <w:rStyle w:val="Emphasis"/>
          <w:rFonts w:eastAsiaTheme="majorEastAsia"/>
          <w:color w:val="000000" w:themeColor="text1"/>
        </w:rPr>
        <w:t>English Text Construction, 4</w:t>
      </w:r>
      <w:r w:rsidRPr="001A548B">
        <w:rPr>
          <w:color w:val="000000" w:themeColor="text1"/>
        </w:rPr>
        <w:t>(2)</w:t>
      </w:r>
      <w:r w:rsidR="00E80E3E">
        <w:rPr>
          <w:color w:val="000000" w:themeColor="text1"/>
        </w:rPr>
        <w:t>:</w:t>
      </w:r>
      <w:r w:rsidRPr="001A548B">
        <w:rPr>
          <w:color w:val="000000" w:themeColor="text1"/>
        </w:rPr>
        <w:t xml:space="preserve"> 204–227.</w:t>
      </w:r>
    </w:p>
    <w:p w14:paraId="4F87AFF3" w14:textId="1B496EB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Martin, J. R., &amp; Rose, D. 2003. </w:t>
      </w:r>
      <w:r w:rsidRPr="001A548B">
        <w:rPr>
          <w:rStyle w:val="Emphasis"/>
          <w:rFonts w:eastAsiaTheme="majorEastAsia"/>
          <w:color w:val="000000" w:themeColor="text1"/>
        </w:rPr>
        <w:t>Working with discourse: Meaning beyond the clause</w:t>
      </w:r>
      <w:r w:rsidRPr="001A548B">
        <w:rPr>
          <w:color w:val="000000" w:themeColor="text1"/>
        </w:rPr>
        <w:t>. Continuum.</w:t>
      </w:r>
    </w:p>
    <w:p w14:paraId="2375DBD7" w14:textId="17B9A2B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Mills, S. 1995. </w:t>
      </w:r>
      <w:r w:rsidRPr="001A548B">
        <w:rPr>
          <w:rStyle w:val="Emphasis"/>
          <w:rFonts w:eastAsiaTheme="majorEastAsia"/>
          <w:color w:val="000000" w:themeColor="text1"/>
        </w:rPr>
        <w:t>Feminist stylistics</w:t>
      </w:r>
      <w:r w:rsidRPr="001A548B">
        <w:rPr>
          <w:color w:val="000000" w:themeColor="text1"/>
        </w:rPr>
        <w:t>. Routledge.</w:t>
      </w:r>
    </w:p>
    <w:p w14:paraId="7B7F836B" w14:textId="32595B5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Msuya, E. A. 2014. Stylistic analysis of "Xuma" and "Leah" in Peter Abrahams’ Mine Boy: A verbal transitivity process. </w:t>
      </w:r>
      <w:r w:rsidRPr="001A548B">
        <w:rPr>
          <w:i/>
          <w:iCs/>
          <w:color w:val="000000" w:themeColor="text1"/>
        </w:rPr>
        <w:t>International Journal of Linguistics</w:t>
      </w:r>
      <w:r w:rsidRPr="001A548B">
        <w:rPr>
          <w:color w:val="000000" w:themeColor="text1"/>
        </w:rPr>
        <w:t>, 6(1)</w:t>
      </w:r>
      <w:r w:rsidR="00E80E3E">
        <w:rPr>
          <w:color w:val="000000" w:themeColor="text1"/>
        </w:rPr>
        <w:t>:</w:t>
      </w:r>
      <w:r w:rsidRPr="001A548B">
        <w:rPr>
          <w:color w:val="000000" w:themeColor="text1"/>
        </w:rPr>
        <w:t xml:space="preserve">132–141. </w:t>
      </w:r>
      <w:hyperlink r:id="rId12" w:history="1">
        <w:r w:rsidRPr="001A548B">
          <w:rPr>
            <w:rStyle w:val="Hyperlink"/>
            <w:color w:val="000000" w:themeColor="text1"/>
          </w:rPr>
          <w:t>https://doi.org/10.5296/ijl.v6i1.4824</w:t>
        </w:r>
      </w:hyperlink>
    </w:p>
    <w:p w14:paraId="65E1A88A" w14:textId="2D16990D"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Mulila-Matei, A. K. 2014. Discourse, gender identity and gender power relations in fiction: A critical discourse analysis and systemic functional grammar reading of Wamitila’s “Unaitwa Nani?” Doctoral thesis), University of Nairobi.</w:t>
      </w:r>
    </w:p>
    <w:p w14:paraId="1D0B9BF6" w14:textId="69125E74"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Musyoka, M. 2022. Domesticity, agency, and voice in contemporary East African fiction. </w:t>
      </w:r>
      <w:r w:rsidRPr="001A548B">
        <w:rPr>
          <w:rFonts w:ascii="Times New Roman" w:eastAsia="Times New Roman" w:hAnsi="Times New Roman" w:cs="Times New Roman"/>
          <w:i/>
          <w:iCs/>
          <w:color w:val="000000" w:themeColor="text1"/>
          <w:kern w:val="0"/>
          <w14:ligatures w14:val="none"/>
        </w:rPr>
        <w:t>Eastern African Literary and Cultural Studies, 8</w:t>
      </w:r>
      <w:r w:rsidRPr="001A548B">
        <w:rPr>
          <w:rFonts w:ascii="Times New Roman" w:eastAsia="Times New Roman" w:hAnsi="Times New Roman" w:cs="Times New Roman"/>
          <w:color w:val="000000" w:themeColor="text1"/>
          <w:kern w:val="0"/>
          <w14:ligatures w14:val="none"/>
        </w:rPr>
        <w:t>(1)</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55–72.</w:t>
      </w:r>
    </w:p>
    <w:p w14:paraId="616B006F" w14:textId="6011B5A3"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Mwinlaaru, I. N. 2019. Transitivity, characterisation, and ideology in Ghanaian narratives. </w:t>
      </w:r>
      <w:r w:rsidRPr="001A548B">
        <w:rPr>
          <w:rFonts w:ascii="Times New Roman" w:eastAsia="Times New Roman" w:hAnsi="Times New Roman" w:cs="Times New Roman"/>
          <w:i/>
          <w:iCs/>
          <w:color w:val="000000" w:themeColor="text1"/>
          <w:kern w:val="0"/>
          <w14:ligatures w14:val="none"/>
        </w:rPr>
        <w:t>Journal of Literary Studies, 35</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54–73. </w:t>
      </w:r>
      <w:r w:rsidR="00E80E3E">
        <w:rPr>
          <w:rFonts w:ascii="Times New Roman" w:eastAsia="Times New Roman" w:hAnsi="Times New Roman" w:cs="Times New Roman"/>
          <w:color w:val="000000" w:themeColor="text1"/>
          <w:kern w:val="0"/>
          <w14:ligatures w14:val="none"/>
        </w:rPr>
        <w:t xml:space="preserve">            </w:t>
      </w:r>
      <w:hyperlink r:id="rId13" w:history="1">
        <w:r w:rsidR="00E80E3E" w:rsidRPr="009B780F">
          <w:rPr>
            <w:rStyle w:val="Hyperlink"/>
            <w:rFonts w:ascii="Times New Roman" w:eastAsia="Times New Roman" w:hAnsi="Times New Roman" w:cs="Times New Roman"/>
            <w:kern w:val="0"/>
            <w14:ligatures w14:val="none"/>
          </w:rPr>
          <w:t>https://doi.org/10.1080/02564718.2019.1614079</w:t>
        </w:r>
      </w:hyperlink>
    </w:p>
    <w:p w14:paraId="60FC9AE2" w14:textId="769A8C9C"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Mwinlaaru, I. N., &amp; Xuan, M. 2016. Stylistics and foregrounding in literary texts: A systemic functional approach. </w:t>
      </w:r>
      <w:r w:rsidRPr="001A548B">
        <w:rPr>
          <w:rStyle w:val="Emphasis"/>
          <w:rFonts w:eastAsiaTheme="majorEastAsia"/>
          <w:color w:val="000000" w:themeColor="text1"/>
        </w:rPr>
        <w:t>Journal of Literature, Languages and Linguistics, 20</w:t>
      </w:r>
      <w:r w:rsidR="00E80E3E">
        <w:rPr>
          <w:color w:val="000000" w:themeColor="text1"/>
        </w:rPr>
        <w:t>:</w:t>
      </w:r>
      <w:r w:rsidRPr="001A548B">
        <w:rPr>
          <w:color w:val="000000" w:themeColor="text1"/>
        </w:rPr>
        <w:t xml:space="preserve"> 35–44.</w:t>
      </w:r>
    </w:p>
    <w:p w14:paraId="55CEB3E8" w14:textId="6CFD78C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Nweke, O. 2022. Gender, resilience and linguistic representation in Adichie’s fiction. </w:t>
      </w:r>
      <w:r w:rsidRPr="001A548B">
        <w:rPr>
          <w:rStyle w:val="Emphasis"/>
          <w:rFonts w:eastAsiaTheme="majorEastAsia"/>
          <w:color w:val="000000" w:themeColor="text1"/>
        </w:rPr>
        <w:t>Journal of Language, Literature and Culture, 29</w:t>
      </w:r>
      <w:r w:rsidRPr="001A548B">
        <w:rPr>
          <w:color w:val="000000" w:themeColor="text1"/>
        </w:rPr>
        <w:t>(3)</w:t>
      </w:r>
      <w:r w:rsidR="00E80E3E">
        <w:rPr>
          <w:color w:val="000000" w:themeColor="text1"/>
        </w:rPr>
        <w:t>:</w:t>
      </w:r>
      <w:r w:rsidRPr="001A548B">
        <w:rPr>
          <w:color w:val="000000" w:themeColor="text1"/>
        </w:rPr>
        <w:t>213–228.</w:t>
      </w:r>
    </w:p>
    <w:p w14:paraId="75D8A305" w14:textId="5038D2BE"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Onyango, R. 2023. Housegirls as subjects: Feminist stylistics in Kenyan popular fiction. </w:t>
      </w:r>
      <w:r w:rsidRPr="001A548B">
        <w:rPr>
          <w:rFonts w:ascii="Times New Roman" w:eastAsia="Times New Roman" w:hAnsi="Times New Roman" w:cs="Times New Roman"/>
          <w:i/>
          <w:iCs/>
          <w:color w:val="000000" w:themeColor="text1"/>
          <w:kern w:val="0"/>
          <w14:ligatures w14:val="none"/>
        </w:rPr>
        <w:t>Journal of African Cultural Studies, 35</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167–182.</w:t>
      </w:r>
    </w:p>
    <w:p w14:paraId="12F2EB8F" w14:textId="53EB3250"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Opara, I. 2019. A systemic functional analysis of processes in Soyinka’s </w:t>
      </w:r>
      <w:r w:rsidRPr="001A548B">
        <w:rPr>
          <w:rFonts w:ascii="Times New Roman" w:eastAsia="Times New Roman" w:hAnsi="Times New Roman" w:cs="Times New Roman"/>
          <w:i/>
          <w:iCs/>
          <w:color w:val="000000" w:themeColor="text1"/>
          <w:kern w:val="0"/>
          <w14:ligatures w14:val="none"/>
        </w:rPr>
        <w:t>Death and the King’s Horseman</w:t>
      </w:r>
      <w:r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i/>
          <w:iCs/>
          <w:color w:val="000000" w:themeColor="text1"/>
          <w:kern w:val="0"/>
          <w14:ligatures w14:val="none"/>
        </w:rPr>
        <w:t>Journal of English and Literature, 10</w:t>
      </w:r>
      <w:r w:rsidRPr="001A548B">
        <w:rPr>
          <w:rFonts w:ascii="Times New Roman" w:eastAsia="Times New Roman" w:hAnsi="Times New Roman" w:cs="Times New Roman"/>
          <w:color w:val="000000" w:themeColor="text1"/>
          <w:kern w:val="0"/>
          <w14:ligatures w14:val="none"/>
        </w:rPr>
        <w:t>(3)</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19–27.</w:t>
      </w:r>
    </w:p>
    <w:p w14:paraId="0C43806E" w14:textId="63F78FE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Opara, I. 2019. Characterization and transitivity choices in Chimamanda Ngozi Adichie’s </w:t>
      </w:r>
      <w:r w:rsidRPr="001A548B">
        <w:rPr>
          <w:rStyle w:val="Emphasis"/>
          <w:rFonts w:eastAsiaTheme="majorEastAsia"/>
          <w:color w:val="000000" w:themeColor="text1"/>
        </w:rPr>
        <w:t>Americanah</w:t>
      </w:r>
      <w:r w:rsidRPr="001A548B">
        <w:rPr>
          <w:color w:val="000000" w:themeColor="text1"/>
        </w:rPr>
        <w:t xml:space="preserve">. </w:t>
      </w:r>
      <w:r w:rsidRPr="001A548B">
        <w:rPr>
          <w:rStyle w:val="Emphasis"/>
          <w:rFonts w:eastAsiaTheme="majorEastAsia"/>
          <w:color w:val="000000" w:themeColor="text1"/>
        </w:rPr>
        <w:t>Journal of English Language and Literature, 6</w:t>
      </w:r>
      <w:r w:rsidRPr="001A548B">
        <w:rPr>
          <w:color w:val="000000" w:themeColor="text1"/>
        </w:rPr>
        <w:t>(2)</w:t>
      </w:r>
      <w:r w:rsidR="00E80E3E">
        <w:rPr>
          <w:color w:val="000000" w:themeColor="text1"/>
        </w:rPr>
        <w:t>:</w:t>
      </w:r>
      <w:r w:rsidRPr="001A548B">
        <w:rPr>
          <w:color w:val="000000" w:themeColor="text1"/>
        </w:rPr>
        <w:t xml:space="preserve"> 112–126.</w:t>
      </w:r>
    </w:p>
    <w:p w14:paraId="14A2A746" w14:textId="65F476E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Otugo, M. N., &amp; Akabuike, I. G. 2025. Transitivity analysis of selected Nigerian novels</w:t>
      </w:r>
      <w:r w:rsidRPr="001A548B">
        <w:rPr>
          <w:i/>
          <w:iCs/>
          <w:color w:val="000000" w:themeColor="text1"/>
        </w:rPr>
        <w:t>. Ansu Journal of Language and Literary Studies,</w:t>
      </w:r>
      <w:r w:rsidRPr="001A548B">
        <w:rPr>
          <w:color w:val="000000" w:themeColor="text1"/>
        </w:rPr>
        <w:t xml:space="preserve"> 5(1)</w:t>
      </w:r>
      <w:r w:rsidR="00E80E3E">
        <w:rPr>
          <w:color w:val="000000" w:themeColor="text1"/>
        </w:rPr>
        <w:t>:</w:t>
      </w:r>
      <w:r w:rsidRPr="001A548B">
        <w:rPr>
          <w:color w:val="000000" w:themeColor="text1"/>
        </w:rPr>
        <w:t xml:space="preserve"> 190-203.</w:t>
      </w:r>
    </w:p>
    <w:p w14:paraId="3EF7DB75" w14:textId="33D9BB4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Russell, J., &amp; Rajabu, R. 1995. Bilingual writers and the syntactic elaboration of Swahili. </w:t>
      </w:r>
      <w:r w:rsidRPr="001A548B">
        <w:rPr>
          <w:i/>
          <w:iCs/>
          <w:color w:val="000000" w:themeColor="text1"/>
        </w:rPr>
        <w:t xml:space="preserve">African Languages and Cultures, </w:t>
      </w:r>
      <w:r w:rsidRPr="001A548B">
        <w:rPr>
          <w:color w:val="000000" w:themeColor="text1"/>
        </w:rPr>
        <w:t>8(1)</w:t>
      </w:r>
      <w:r w:rsidR="00E80E3E">
        <w:rPr>
          <w:color w:val="000000" w:themeColor="text1"/>
        </w:rPr>
        <w:t>:</w:t>
      </w:r>
      <w:r w:rsidRPr="001A548B">
        <w:rPr>
          <w:color w:val="000000" w:themeColor="text1"/>
        </w:rPr>
        <w:t xml:space="preserve"> 43–59. </w:t>
      </w:r>
      <w:hyperlink r:id="rId14" w:history="1">
        <w:r w:rsidRPr="001A548B">
          <w:rPr>
            <w:rStyle w:val="Hyperlink"/>
            <w:color w:val="000000" w:themeColor="text1"/>
          </w:rPr>
          <w:t>https://doi.org/10.1080/09544169508717861</w:t>
        </w:r>
      </w:hyperlink>
    </w:p>
    <w:p w14:paraId="45AAE5BB" w14:textId="594337A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Shah, A. A., Hassan, K. &amp; Ullah, S. 2025. Cultural hybridity in </w:t>
      </w:r>
      <w:r w:rsidR="00E80E3E">
        <w:rPr>
          <w:color w:val="000000" w:themeColor="text1"/>
        </w:rPr>
        <w:t>“</w:t>
      </w:r>
      <w:r w:rsidRPr="001A548B">
        <w:rPr>
          <w:color w:val="000000" w:themeColor="text1"/>
        </w:rPr>
        <w:t>Things Fall Apart</w:t>
      </w:r>
      <w:r w:rsidR="00E80E3E">
        <w:rPr>
          <w:color w:val="000000" w:themeColor="text1"/>
        </w:rPr>
        <w:t>”</w:t>
      </w:r>
      <w:r w:rsidRPr="001A548B">
        <w:rPr>
          <w:color w:val="000000" w:themeColor="text1"/>
        </w:rPr>
        <w:t xml:space="preserve">: A Hallidayan perspective through transitivity analysis. </w:t>
      </w:r>
      <w:r w:rsidRPr="001A548B">
        <w:rPr>
          <w:i/>
          <w:iCs/>
          <w:color w:val="000000" w:themeColor="text1"/>
        </w:rPr>
        <w:t>Journal of Applied Linguistics and TESOL (JALT),</w:t>
      </w:r>
      <w:r w:rsidRPr="001A548B">
        <w:rPr>
          <w:color w:val="000000" w:themeColor="text1"/>
        </w:rPr>
        <w:t xml:space="preserve"> 8(3)</w:t>
      </w:r>
      <w:r w:rsidR="00E80E3E">
        <w:rPr>
          <w:color w:val="000000" w:themeColor="text1"/>
        </w:rPr>
        <w:t>:</w:t>
      </w:r>
      <w:r w:rsidRPr="001A548B">
        <w:rPr>
          <w:color w:val="000000" w:themeColor="text1"/>
        </w:rPr>
        <w:t xml:space="preserve"> 1698–1709.</w:t>
      </w:r>
    </w:p>
    <w:p w14:paraId="483C02B0" w14:textId="54F1427E"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Simpson, P. 2004. </w:t>
      </w:r>
      <w:r w:rsidRPr="001A548B">
        <w:rPr>
          <w:rStyle w:val="Emphasis"/>
          <w:rFonts w:eastAsiaTheme="majorEastAsia"/>
          <w:color w:val="000000" w:themeColor="text1"/>
        </w:rPr>
        <w:t>Stylistics: A resource book for students</w:t>
      </w:r>
      <w:r w:rsidRPr="001A548B">
        <w:rPr>
          <w:color w:val="000000" w:themeColor="text1"/>
        </w:rPr>
        <w:t>. Routledge.</w:t>
      </w:r>
    </w:p>
    <w:p w14:paraId="413FE5EA" w14:textId="3B4331CD"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Tchokothe, R. A. 2014. </w:t>
      </w:r>
      <w:r w:rsidRPr="001A548B">
        <w:rPr>
          <w:i/>
          <w:iCs/>
          <w:color w:val="000000" w:themeColor="text1"/>
        </w:rPr>
        <w:t>Transgression in Swahili narrative fiction and its reception</w:t>
      </w:r>
      <w:r w:rsidRPr="001A548B">
        <w:rPr>
          <w:color w:val="000000" w:themeColor="text1"/>
        </w:rPr>
        <w:t xml:space="preserve"> (Vol. 56). LIT Verlag Münster.</w:t>
      </w:r>
    </w:p>
    <w:p w14:paraId="4B6422E4" w14:textId="23FA4C9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Thompson, G. 2014. </w:t>
      </w:r>
      <w:r w:rsidRPr="001A548B">
        <w:rPr>
          <w:rStyle w:val="Emphasis"/>
          <w:rFonts w:eastAsiaTheme="majorEastAsia"/>
          <w:color w:val="000000" w:themeColor="text1"/>
        </w:rPr>
        <w:t>Introducing functional grammar</w:t>
      </w:r>
      <w:r w:rsidRPr="001A548B">
        <w:rPr>
          <w:color w:val="000000" w:themeColor="text1"/>
        </w:rPr>
        <w:t xml:space="preserve"> (3rd ed.). Routledge.</w:t>
      </w:r>
    </w:p>
    <w:p w14:paraId="5B9B5959" w14:textId="4EC4204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Toolan, M. 2012. </w:t>
      </w:r>
      <w:r w:rsidRPr="001A548B">
        <w:rPr>
          <w:rStyle w:val="Emphasis"/>
          <w:rFonts w:eastAsiaTheme="majorEastAsia"/>
          <w:color w:val="000000" w:themeColor="text1"/>
        </w:rPr>
        <w:t>Language in literature: An introduction to stylistics</w:t>
      </w:r>
      <w:r w:rsidRPr="001A548B">
        <w:rPr>
          <w:color w:val="000000" w:themeColor="text1"/>
        </w:rPr>
        <w:t>. Routledge.</w:t>
      </w:r>
    </w:p>
    <w:p w14:paraId="71BF80F9" w14:textId="6CDF6653"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Van Leeuwen, T. 2008. </w:t>
      </w:r>
      <w:r w:rsidRPr="001A548B">
        <w:rPr>
          <w:rFonts w:ascii="Times New Roman" w:eastAsia="Times New Roman" w:hAnsi="Times New Roman" w:cs="Times New Roman"/>
          <w:i/>
          <w:iCs/>
          <w:color w:val="000000" w:themeColor="text1"/>
          <w:kern w:val="0"/>
          <w14:ligatures w14:val="none"/>
        </w:rPr>
        <w:t>Discourse and practice: New tools for critical discourse analysis</w:t>
      </w:r>
      <w:r w:rsidRPr="001A548B">
        <w:rPr>
          <w:rFonts w:ascii="Times New Roman" w:eastAsia="Times New Roman" w:hAnsi="Times New Roman" w:cs="Times New Roman"/>
          <w:color w:val="000000" w:themeColor="text1"/>
          <w:kern w:val="0"/>
          <w14:ligatures w14:val="none"/>
        </w:rPr>
        <w:t>.  Oxford University Press.</w:t>
      </w:r>
    </w:p>
    <w:p w14:paraId="5AC3C1E6" w14:textId="25D8F40B"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Wang, J. 2010. Transitivity and voice: Characterization in Faulkner’s </w:t>
      </w:r>
      <w:r w:rsidRPr="001A548B">
        <w:rPr>
          <w:rStyle w:val="Emphasis"/>
          <w:rFonts w:eastAsiaTheme="majorEastAsia"/>
          <w:color w:val="000000" w:themeColor="text1"/>
        </w:rPr>
        <w:t>A Rose for Emily</w:t>
      </w:r>
      <w:r w:rsidRPr="001A548B">
        <w:rPr>
          <w:color w:val="000000" w:themeColor="text1"/>
        </w:rPr>
        <w:t xml:space="preserve">. </w:t>
      </w:r>
      <w:r w:rsidRPr="001A548B">
        <w:rPr>
          <w:rStyle w:val="Emphasis"/>
          <w:rFonts w:eastAsiaTheme="majorEastAsia"/>
          <w:color w:val="000000" w:themeColor="text1"/>
        </w:rPr>
        <w:t>Journal of Language Teaching and Research, 1</w:t>
      </w:r>
      <w:r w:rsidRPr="001A548B">
        <w:rPr>
          <w:color w:val="000000" w:themeColor="text1"/>
        </w:rPr>
        <w:t>(6)</w:t>
      </w:r>
      <w:r w:rsidR="003142EB">
        <w:rPr>
          <w:color w:val="000000" w:themeColor="text1"/>
        </w:rPr>
        <w:t>:</w:t>
      </w:r>
      <w:r w:rsidRPr="001A548B">
        <w:rPr>
          <w:color w:val="000000" w:themeColor="text1"/>
        </w:rPr>
        <w:t xml:space="preserve"> 784–789.</w:t>
      </w:r>
    </w:p>
    <w:p w14:paraId="22F26EB2" w14:textId="2C55D694"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Wang, J. 2021. Transitivity analysis and characterisation in literary discourse. </w:t>
      </w:r>
      <w:r w:rsidRPr="001A548B">
        <w:rPr>
          <w:rFonts w:ascii="Times New Roman" w:eastAsia="Times New Roman" w:hAnsi="Times New Roman" w:cs="Times New Roman"/>
          <w:i/>
          <w:iCs/>
          <w:color w:val="000000" w:themeColor="text1"/>
          <w:kern w:val="0"/>
          <w14:ligatures w14:val="none"/>
        </w:rPr>
        <w:t>Journal of Language and Literature Studies, 11</w:t>
      </w:r>
      <w:r w:rsidRPr="001A548B">
        <w:rPr>
          <w:rFonts w:ascii="Times New Roman" w:eastAsia="Times New Roman" w:hAnsi="Times New Roman" w:cs="Times New Roman"/>
          <w:color w:val="000000" w:themeColor="text1"/>
          <w:kern w:val="0"/>
          <w14:ligatures w14:val="none"/>
        </w:rPr>
        <w:t>(2)</w:t>
      </w:r>
      <w:r w:rsidR="003142E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45–58.</w:t>
      </w:r>
    </w:p>
    <w:p w14:paraId="498D69D8" w14:textId="3808B55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Yokossi, D. T. &amp; Koussouhon, L. A. 2017. Transitivity analysis of Chinua Achebe’s Arrow of God and Ngugi Wa Thiong’o’s Petals of Blood: A comparative systemic functional linguistic approach. </w:t>
      </w:r>
      <w:r w:rsidRPr="001A548B">
        <w:rPr>
          <w:i/>
          <w:iCs/>
          <w:color w:val="000000" w:themeColor="text1"/>
        </w:rPr>
        <w:t>Journal of Applied Linguistics and Language Research</w:t>
      </w:r>
      <w:r w:rsidRPr="001A548B">
        <w:rPr>
          <w:color w:val="000000" w:themeColor="text1"/>
        </w:rPr>
        <w:t>, 4(3)</w:t>
      </w:r>
      <w:r w:rsidR="003142EB">
        <w:rPr>
          <w:color w:val="000000" w:themeColor="text1"/>
        </w:rPr>
        <w:t>:</w:t>
      </w:r>
      <w:r w:rsidRPr="001A548B">
        <w:rPr>
          <w:color w:val="000000" w:themeColor="text1"/>
        </w:rPr>
        <w:t xml:space="preserve"> 171–195.</w:t>
      </w:r>
    </w:p>
    <w:p w14:paraId="512272BD" w14:textId="543E30D2"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t xml:space="preserve">Zein, T. T., Sinar, T. S., Nurlela, N. &amp; Yusuf, M. 2019. </w:t>
      </w:r>
      <w:r w:rsidRPr="001A548B">
        <w:rPr>
          <w:color w:val="000000" w:themeColor="text1"/>
        </w:rPr>
        <w:t xml:space="preserve">Process types of transitivity system in English department students’ narrative texts. </w:t>
      </w:r>
      <w:r w:rsidRPr="001A548B">
        <w:rPr>
          <w:i/>
          <w:iCs/>
          <w:color w:val="000000" w:themeColor="text1"/>
        </w:rPr>
        <w:t>In Proceedings of the Sixth International Conference on English Language and Teaching</w:t>
      </w:r>
      <w:r w:rsidRPr="001A548B">
        <w:rPr>
          <w:color w:val="000000" w:themeColor="text1"/>
        </w:rPr>
        <w:t xml:space="preserve"> (ICOELT 2018) (pp. 149–155). Atlantis Press. </w:t>
      </w:r>
      <w:hyperlink r:id="rId15" w:history="1">
        <w:r w:rsidRPr="001A548B">
          <w:rPr>
            <w:rStyle w:val="Hyperlink"/>
            <w:color w:val="000000" w:themeColor="text1"/>
          </w:rPr>
          <w:t>https://doi.org/10.2991/icoelt-18.2019.22</w:t>
        </w:r>
      </w:hyperlink>
    </w:p>
    <w:p w14:paraId="31988C63" w14:textId="6681AC4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Zhang, Y. 2017. Transitivity analysis of characterisation in literary narratives. </w:t>
      </w:r>
      <w:r w:rsidRPr="001A548B">
        <w:rPr>
          <w:rStyle w:val="Emphasis"/>
          <w:rFonts w:eastAsiaTheme="majorEastAsia"/>
          <w:color w:val="000000" w:themeColor="text1"/>
        </w:rPr>
        <w:t>International Journal of Linguistics and Literature, 6</w:t>
      </w:r>
      <w:r w:rsidRPr="001A548B">
        <w:rPr>
          <w:color w:val="000000" w:themeColor="text1"/>
        </w:rPr>
        <w:t>(1)</w:t>
      </w:r>
      <w:r w:rsidR="003142EB">
        <w:rPr>
          <w:color w:val="000000" w:themeColor="text1"/>
        </w:rPr>
        <w:t>:</w:t>
      </w:r>
      <w:r w:rsidRPr="001A548B">
        <w:rPr>
          <w:color w:val="000000" w:themeColor="text1"/>
        </w:rPr>
        <w:t xml:space="preserve"> 1–12.</w:t>
      </w:r>
    </w:p>
    <w:p w14:paraId="043CF852" w14:textId="77777777" w:rsidR="0038550C" w:rsidRPr="001A548B" w:rsidRDefault="0038550C" w:rsidP="001A548B">
      <w:pPr>
        <w:pStyle w:val="NormalWeb"/>
        <w:spacing w:line="480" w:lineRule="auto"/>
        <w:ind w:left="864" w:hanging="864"/>
        <w:jc w:val="both"/>
        <w:rPr>
          <w:color w:val="000000" w:themeColor="text1"/>
        </w:rPr>
      </w:pPr>
    </w:p>
    <w:p w14:paraId="263C6F0F" w14:textId="77777777" w:rsidR="007D68E3" w:rsidRPr="001A548B" w:rsidRDefault="007D68E3" w:rsidP="001A548B">
      <w:pPr>
        <w:spacing w:line="480" w:lineRule="auto"/>
        <w:jc w:val="both"/>
        <w:rPr>
          <w:rFonts w:ascii="Times New Roman" w:hAnsi="Times New Roman" w:cs="Times New Roman"/>
          <w:color w:val="000000" w:themeColor="text1"/>
        </w:rPr>
      </w:pPr>
    </w:p>
    <w:sectPr w:rsidR="007D68E3" w:rsidRPr="001A5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94F06"/>
    <w:multiLevelType w:val="multilevel"/>
    <w:tmpl w:val="C7BC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4D138D"/>
    <w:multiLevelType w:val="multilevel"/>
    <w:tmpl w:val="6678A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84D39"/>
    <w:multiLevelType w:val="multilevel"/>
    <w:tmpl w:val="ADCE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164F65"/>
    <w:multiLevelType w:val="multilevel"/>
    <w:tmpl w:val="E49A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914E52"/>
    <w:multiLevelType w:val="multilevel"/>
    <w:tmpl w:val="EE42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2F33B9"/>
    <w:multiLevelType w:val="multilevel"/>
    <w:tmpl w:val="017C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E3"/>
    <w:rsid w:val="00000F95"/>
    <w:rsid w:val="00004A01"/>
    <w:rsid w:val="00020AFF"/>
    <w:rsid w:val="00051F2A"/>
    <w:rsid w:val="000544BB"/>
    <w:rsid w:val="0005727F"/>
    <w:rsid w:val="000E299E"/>
    <w:rsid w:val="00107517"/>
    <w:rsid w:val="00107522"/>
    <w:rsid w:val="001640F9"/>
    <w:rsid w:val="00193A26"/>
    <w:rsid w:val="001A548B"/>
    <w:rsid w:val="001F77BA"/>
    <w:rsid w:val="00204467"/>
    <w:rsid w:val="00215C0D"/>
    <w:rsid w:val="00220D36"/>
    <w:rsid w:val="0027304C"/>
    <w:rsid w:val="002935CF"/>
    <w:rsid w:val="002F5D76"/>
    <w:rsid w:val="003142EB"/>
    <w:rsid w:val="003602B1"/>
    <w:rsid w:val="0038550C"/>
    <w:rsid w:val="003B4A9C"/>
    <w:rsid w:val="003D6B57"/>
    <w:rsid w:val="003E117C"/>
    <w:rsid w:val="003E5648"/>
    <w:rsid w:val="00400C4D"/>
    <w:rsid w:val="00403B71"/>
    <w:rsid w:val="00440E8A"/>
    <w:rsid w:val="004505C5"/>
    <w:rsid w:val="00454E7A"/>
    <w:rsid w:val="004D289A"/>
    <w:rsid w:val="0052589C"/>
    <w:rsid w:val="005A0825"/>
    <w:rsid w:val="005E5968"/>
    <w:rsid w:val="005F5872"/>
    <w:rsid w:val="0065032A"/>
    <w:rsid w:val="006665D5"/>
    <w:rsid w:val="006A316F"/>
    <w:rsid w:val="006E1B1F"/>
    <w:rsid w:val="007157D8"/>
    <w:rsid w:val="00720A73"/>
    <w:rsid w:val="00733596"/>
    <w:rsid w:val="00764421"/>
    <w:rsid w:val="00765A56"/>
    <w:rsid w:val="00780C30"/>
    <w:rsid w:val="00791C81"/>
    <w:rsid w:val="007B2DF6"/>
    <w:rsid w:val="007D2FED"/>
    <w:rsid w:val="007D68E3"/>
    <w:rsid w:val="007E1AB6"/>
    <w:rsid w:val="008111A8"/>
    <w:rsid w:val="0087793C"/>
    <w:rsid w:val="009007DD"/>
    <w:rsid w:val="00937ABF"/>
    <w:rsid w:val="00A42242"/>
    <w:rsid w:val="00A650E6"/>
    <w:rsid w:val="00A651A8"/>
    <w:rsid w:val="00AB404D"/>
    <w:rsid w:val="00AB5523"/>
    <w:rsid w:val="00AF27C7"/>
    <w:rsid w:val="00B36B61"/>
    <w:rsid w:val="00BD3FAD"/>
    <w:rsid w:val="00BF1681"/>
    <w:rsid w:val="00C01F28"/>
    <w:rsid w:val="00C92BA7"/>
    <w:rsid w:val="00D00F1F"/>
    <w:rsid w:val="00D35AF0"/>
    <w:rsid w:val="00DB56C2"/>
    <w:rsid w:val="00E01EA8"/>
    <w:rsid w:val="00E743E0"/>
    <w:rsid w:val="00E80E3E"/>
    <w:rsid w:val="00E91703"/>
    <w:rsid w:val="00EC1B12"/>
    <w:rsid w:val="00F11E76"/>
    <w:rsid w:val="00F20A6A"/>
    <w:rsid w:val="00F35B85"/>
    <w:rsid w:val="00FC7A6F"/>
    <w:rsid w:val="00FD3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09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6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6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68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68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68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6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8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68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68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68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68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6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8E3"/>
    <w:rPr>
      <w:rFonts w:eastAsiaTheme="majorEastAsia" w:cstheme="majorBidi"/>
      <w:color w:val="272727" w:themeColor="text1" w:themeTint="D8"/>
    </w:rPr>
  </w:style>
  <w:style w:type="paragraph" w:styleId="Title">
    <w:name w:val="Title"/>
    <w:basedOn w:val="Normal"/>
    <w:next w:val="Normal"/>
    <w:link w:val="TitleChar"/>
    <w:uiPriority w:val="10"/>
    <w:qFormat/>
    <w:rsid w:val="007D6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8E3"/>
    <w:pPr>
      <w:spacing w:before="160"/>
      <w:jc w:val="center"/>
    </w:pPr>
    <w:rPr>
      <w:i/>
      <w:iCs/>
      <w:color w:val="404040" w:themeColor="text1" w:themeTint="BF"/>
    </w:rPr>
  </w:style>
  <w:style w:type="character" w:customStyle="1" w:styleId="QuoteChar">
    <w:name w:val="Quote Char"/>
    <w:basedOn w:val="DefaultParagraphFont"/>
    <w:link w:val="Quote"/>
    <w:uiPriority w:val="29"/>
    <w:rsid w:val="007D68E3"/>
    <w:rPr>
      <w:i/>
      <w:iCs/>
      <w:color w:val="404040" w:themeColor="text1" w:themeTint="BF"/>
    </w:rPr>
  </w:style>
  <w:style w:type="paragraph" w:styleId="ListParagraph">
    <w:name w:val="List Paragraph"/>
    <w:basedOn w:val="Normal"/>
    <w:uiPriority w:val="34"/>
    <w:qFormat/>
    <w:rsid w:val="007D68E3"/>
    <w:pPr>
      <w:ind w:left="720"/>
      <w:contextualSpacing/>
    </w:pPr>
  </w:style>
  <w:style w:type="character" w:styleId="IntenseEmphasis">
    <w:name w:val="Intense Emphasis"/>
    <w:basedOn w:val="DefaultParagraphFont"/>
    <w:uiPriority w:val="21"/>
    <w:qFormat/>
    <w:rsid w:val="007D68E3"/>
    <w:rPr>
      <w:i/>
      <w:iCs/>
      <w:color w:val="2F5496" w:themeColor="accent1" w:themeShade="BF"/>
    </w:rPr>
  </w:style>
  <w:style w:type="paragraph" w:styleId="IntenseQuote">
    <w:name w:val="Intense Quote"/>
    <w:basedOn w:val="Normal"/>
    <w:next w:val="Normal"/>
    <w:link w:val="IntenseQuoteChar"/>
    <w:uiPriority w:val="30"/>
    <w:qFormat/>
    <w:rsid w:val="007D6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8E3"/>
    <w:rPr>
      <w:i/>
      <w:iCs/>
      <w:color w:val="2F5496" w:themeColor="accent1" w:themeShade="BF"/>
    </w:rPr>
  </w:style>
  <w:style w:type="character" w:styleId="IntenseReference">
    <w:name w:val="Intense Reference"/>
    <w:basedOn w:val="DefaultParagraphFont"/>
    <w:uiPriority w:val="32"/>
    <w:qFormat/>
    <w:rsid w:val="007D68E3"/>
    <w:rPr>
      <w:b/>
      <w:bCs/>
      <w:smallCaps/>
      <w:color w:val="2F5496" w:themeColor="accent1" w:themeShade="BF"/>
      <w:spacing w:val="5"/>
    </w:rPr>
  </w:style>
  <w:style w:type="table" w:styleId="TableGrid">
    <w:name w:val="Table Grid"/>
    <w:basedOn w:val="TableNormal"/>
    <w:uiPriority w:val="39"/>
    <w:rsid w:val="007D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57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8550C"/>
    <w:rPr>
      <w:i/>
      <w:iCs/>
    </w:rPr>
  </w:style>
  <w:style w:type="character" w:styleId="Hyperlink">
    <w:name w:val="Hyperlink"/>
    <w:basedOn w:val="DefaultParagraphFont"/>
    <w:uiPriority w:val="99"/>
    <w:unhideWhenUsed/>
    <w:rsid w:val="00DB56C2"/>
    <w:rPr>
      <w:color w:val="0563C1" w:themeColor="hyperlink"/>
      <w:u w:val="single"/>
    </w:rPr>
  </w:style>
  <w:style w:type="character" w:customStyle="1" w:styleId="UnresolvedMention">
    <w:name w:val="Unresolved Mention"/>
    <w:basedOn w:val="DefaultParagraphFont"/>
    <w:uiPriority w:val="99"/>
    <w:semiHidden/>
    <w:unhideWhenUsed/>
    <w:rsid w:val="00DB56C2"/>
    <w:rPr>
      <w:color w:val="605E5C"/>
      <w:shd w:val="clear" w:color="auto" w:fill="E1DFDD"/>
    </w:rPr>
  </w:style>
  <w:style w:type="character" w:styleId="Strong">
    <w:name w:val="Strong"/>
    <w:basedOn w:val="DefaultParagraphFont"/>
    <w:uiPriority w:val="22"/>
    <w:qFormat/>
    <w:rsid w:val="0087793C"/>
    <w:rPr>
      <w:b/>
      <w:bCs/>
    </w:rPr>
  </w:style>
  <w:style w:type="character" w:styleId="CommentReference">
    <w:name w:val="annotation reference"/>
    <w:basedOn w:val="DefaultParagraphFont"/>
    <w:uiPriority w:val="99"/>
    <w:semiHidden/>
    <w:unhideWhenUsed/>
    <w:rsid w:val="00F20A6A"/>
    <w:rPr>
      <w:sz w:val="16"/>
      <w:szCs w:val="16"/>
    </w:rPr>
  </w:style>
  <w:style w:type="paragraph" w:styleId="CommentText">
    <w:name w:val="annotation text"/>
    <w:basedOn w:val="Normal"/>
    <w:link w:val="CommentTextChar"/>
    <w:uiPriority w:val="99"/>
    <w:semiHidden/>
    <w:unhideWhenUsed/>
    <w:rsid w:val="00F20A6A"/>
    <w:pPr>
      <w:spacing w:line="240" w:lineRule="auto"/>
    </w:pPr>
    <w:rPr>
      <w:sz w:val="20"/>
      <w:szCs w:val="20"/>
    </w:rPr>
  </w:style>
  <w:style w:type="character" w:customStyle="1" w:styleId="CommentTextChar">
    <w:name w:val="Comment Text Char"/>
    <w:basedOn w:val="DefaultParagraphFont"/>
    <w:link w:val="CommentText"/>
    <w:uiPriority w:val="99"/>
    <w:semiHidden/>
    <w:rsid w:val="00F20A6A"/>
    <w:rPr>
      <w:sz w:val="20"/>
      <w:szCs w:val="20"/>
    </w:rPr>
  </w:style>
  <w:style w:type="paragraph" w:styleId="CommentSubject">
    <w:name w:val="annotation subject"/>
    <w:basedOn w:val="CommentText"/>
    <w:next w:val="CommentText"/>
    <w:link w:val="CommentSubjectChar"/>
    <w:uiPriority w:val="99"/>
    <w:semiHidden/>
    <w:unhideWhenUsed/>
    <w:rsid w:val="00F20A6A"/>
    <w:rPr>
      <w:b/>
      <w:bCs/>
    </w:rPr>
  </w:style>
  <w:style w:type="character" w:customStyle="1" w:styleId="CommentSubjectChar">
    <w:name w:val="Comment Subject Char"/>
    <w:basedOn w:val="CommentTextChar"/>
    <w:link w:val="CommentSubject"/>
    <w:uiPriority w:val="99"/>
    <w:semiHidden/>
    <w:rsid w:val="00F20A6A"/>
    <w:rPr>
      <w:b/>
      <w:bCs/>
      <w:sz w:val="20"/>
      <w:szCs w:val="20"/>
    </w:rPr>
  </w:style>
  <w:style w:type="character" w:customStyle="1" w:styleId="ms-1">
    <w:name w:val="ms-1"/>
    <w:basedOn w:val="DefaultParagraphFont"/>
    <w:rsid w:val="006A316F"/>
  </w:style>
  <w:style w:type="character" w:customStyle="1" w:styleId="max-w-15ch">
    <w:name w:val="max-w-[15ch]"/>
    <w:basedOn w:val="DefaultParagraphFont"/>
    <w:rsid w:val="006A3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6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6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68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68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68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6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8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68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68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68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68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6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8E3"/>
    <w:rPr>
      <w:rFonts w:eastAsiaTheme="majorEastAsia" w:cstheme="majorBidi"/>
      <w:color w:val="272727" w:themeColor="text1" w:themeTint="D8"/>
    </w:rPr>
  </w:style>
  <w:style w:type="paragraph" w:styleId="Title">
    <w:name w:val="Title"/>
    <w:basedOn w:val="Normal"/>
    <w:next w:val="Normal"/>
    <w:link w:val="TitleChar"/>
    <w:uiPriority w:val="10"/>
    <w:qFormat/>
    <w:rsid w:val="007D6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8E3"/>
    <w:pPr>
      <w:spacing w:before="160"/>
      <w:jc w:val="center"/>
    </w:pPr>
    <w:rPr>
      <w:i/>
      <w:iCs/>
      <w:color w:val="404040" w:themeColor="text1" w:themeTint="BF"/>
    </w:rPr>
  </w:style>
  <w:style w:type="character" w:customStyle="1" w:styleId="QuoteChar">
    <w:name w:val="Quote Char"/>
    <w:basedOn w:val="DefaultParagraphFont"/>
    <w:link w:val="Quote"/>
    <w:uiPriority w:val="29"/>
    <w:rsid w:val="007D68E3"/>
    <w:rPr>
      <w:i/>
      <w:iCs/>
      <w:color w:val="404040" w:themeColor="text1" w:themeTint="BF"/>
    </w:rPr>
  </w:style>
  <w:style w:type="paragraph" w:styleId="ListParagraph">
    <w:name w:val="List Paragraph"/>
    <w:basedOn w:val="Normal"/>
    <w:uiPriority w:val="34"/>
    <w:qFormat/>
    <w:rsid w:val="007D68E3"/>
    <w:pPr>
      <w:ind w:left="720"/>
      <w:contextualSpacing/>
    </w:pPr>
  </w:style>
  <w:style w:type="character" w:styleId="IntenseEmphasis">
    <w:name w:val="Intense Emphasis"/>
    <w:basedOn w:val="DefaultParagraphFont"/>
    <w:uiPriority w:val="21"/>
    <w:qFormat/>
    <w:rsid w:val="007D68E3"/>
    <w:rPr>
      <w:i/>
      <w:iCs/>
      <w:color w:val="2F5496" w:themeColor="accent1" w:themeShade="BF"/>
    </w:rPr>
  </w:style>
  <w:style w:type="paragraph" w:styleId="IntenseQuote">
    <w:name w:val="Intense Quote"/>
    <w:basedOn w:val="Normal"/>
    <w:next w:val="Normal"/>
    <w:link w:val="IntenseQuoteChar"/>
    <w:uiPriority w:val="30"/>
    <w:qFormat/>
    <w:rsid w:val="007D6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8E3"/>
    <w:rPr>
      <w:i/>
      <w:iCs/>
      <w:color w:val="2F5496" w:themeColor="accent1" w:themeShade="BF"/>
    </w:rPr>
  </w:style>
  <w:style w:type="character" w:styleId="IntenseReference">
    <w:name w:val="Intense Reference"/>
    <w:basedOn w:val="DefaultParagraphFont"/>
    <w:uiPriority w:val="32"/>
    <w:qFormat/>
    <w:rsid w:val="007D68E3"/>
    <w:rPr>
      <w:b/>
      <w:bCs/>
      <w:smallCaps/>
      <w:color w:val="2F5496" w:themeColor="accent1" w:themeShade="BF"/>
      <w:spacing w:val="5"/>
    </w:rPr>
  </w:style>
  <w:style w:type="table" w:styleId="TableGrid">
    <w:name w:val="Table Grid"/>
    <w:basedOn w:val="TableNormal"/>
    <w:uiPriority w:val="39"/>
    <w:rsid w:val="007D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57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8550C"/>
    <w:rPr>
      <w:i/>
      <w:iCs/>
    </w:rPr>
  </w:style>
  <w:style w:type="character" w:styleId="Hyperlink">
    <w:name w:val="Hyperlink"/>
    <w:basedOn w:val="DefaultParagraphFont"/>
    <w:uiPriority w:val="99"/>
    <w:unhideWhenUsed/>
    <w:rsid w:val="00DB56C2"/>
    <w:rPr>
      <w:color w:val="0563C1" w:themeColor="hyperlink"/>
      <w:u w:val="single"/>
    </w:rPr>
  </w:style>
  <w:style w:type="character" w:customStyle="1" w:styleId="UnresolvedMention">
    <w:name w:val="Unresolved Mention"/>
    <w:basedOn w:val="DefaultParagraphFont"/>
    <w:uiPriority w:val="99"/>
    <w:semiHidden/>
    <w:unhideWhenUsed/>
    <w:rsid w:val="00DB56C2"/>
    <w:rPr>
      <w:color w:val="605E5C"/>
      <w:shd w:val="clear" w:color="auto" w:fill="E1DFDD"/>
    </w:rPr>
  </w:style>
  <w:style w:type="character" w:styleId="Strong">
    <w:name w:val="Strong"/>
    <w:basedOn w:val="DefaultParagraphFont"/>
    <w:uiPriority w:val="22"/>
    <w:qFormat/>
    <w:rsid w:val="0087793C"/>
    <w:rPr>
      <w:b/>
      <w:bCs/>
    </w:rPr>
  </w:style>
  <w:style w:type="character" w:styleId="CommentReference">
    <w:name w:val="annotation reference"/>
    <w:basedOn w:val="DefaultParagraphFont"/>
    <w:uiPriority w:val="99"/>
    <w:semiHidden/>
    <w:unhideWhenUsed/>
    <w:rsid w:val="00F20A6A"/>
    <w:rPr>
      <w:sz w:val="16"/>
      <w:szCs w:val="16"/>
    </w:rPr>
  </w:style>
  <w:style w:type="paragraph" w:styleId="CommentText">
    <w:name w:val="annotation text"/>
    <w:basedOn w:val="Normal"/>
    <w:link w:val="CommentTextChar"/>
    <w:uiPriority w:val="99"/>
    <w:semiHidden/>
    <w:unhideWhenUsed/>
    <w:rsid w:val="00F20A6A"/>
    <w:pPr>
      <w:spacing w:line="240" w:lineRule="auto"/>
    </w:pPr>
    <w:rPr>
      <w:sz w:val="20"/>
      <w:szCs w:val="20"/>
    </w:rPr>
  </w:style>
  <w:style w:type="character" w:customStyle="1" w:styleId="CommentTextChar">
    <w:name w:val="Comment Text Char"/>
    <w:basedOn w:val="DefaultParagraphFont"/>
    <w:link w:val="CommentText"/>
    <w:uiPriority w:val="99"/>
    <w:semiHidden/>
    <w:rsid w:val="00F20A6A"/>
    <w:rPr>
      <w:sz w:val="20"/>
      <w:szCs w:val="20"/>
    </w:rPr>
  </w:style>
  <w:style w:type="paragraph" w:styleId="CommentSubject">
    <w:name w:val="annotation subject"/>
    <w:basedOn w:val="CommentText"/>
    <w:next w:val="CommentText"/>
    <w:link w:val="CommentSubjectChar"/>
    <w:uiPriority w:val="99"/>
    <w:semiHidden/>
    <w:unhideWhenUsed/>
    <w:rsid w:val="00F20A6A"/>
    <w:rPr>
      <w:b/>
      <w:bCs/>
    </w:rPr>
  </w:style>
  <w:style w:type="character" w:customStyle="1" w:styleId="CommentSubjectChar">
    <w:name w:val="Comment Subject Char"/>
    <w:basedOn w:val="CommentTextChar"/>
    <w:link w:val="CommentSubject"/>
    <w:uiPriority w:val="99"/>
    <w:semiHidden/>
    <w:rsid w:val="00F20A6A"/>
    <w:rPr>
      <w:b/>
      <w:bCs/>
      <w:sz w:val="20"/>
      <w:szCs w:val="20"/>
    </w:rPr>
  </w:style>
  <w:style w:type="character" w:customStyle="1" w:styleId="ms-1">
    <w:name w:val="ms-1"/>
    <w:basedOn w:val="DefaultParagraphFont"/>
    <w:rsid w:val="006A316F"/>
  </w:style>
  <w:style w:type="character" w:customStyle="1" w:styleId="max-w-15ch">
    <w:name w:val="max-w-[15ch]"/>
    <w:basedOn w:val="DefaultParagraphFont"/>
    <w:rsid w:val="006A3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4256/ideas.v12i2.4527" TargetMode="External"/><Relationship Id="rId13" Type="http://schemas.openxmlformats.org/officeDocument/2006/relationships/hyperlink" Target="https://doi.org/10.1080/02564718.2019.1614079" TargetMode="External"/><Relationship Id="rId3" Type="http://schemas.microsoft.com/office/2007/relationships/stylesWithEffects" Target="stylesWithEffects.xml"/><Relationship Id="rId7" Type="http://schemas.openxmlformats.org/officeDocument/2006/relationships/hyperlink" Target="https://doi.org/10.2979/reseafrilite.49.3.01" TargetMode="External"/><Relationship Id="rId12" Type="http://schemas.openxmlformats.org/officeDocument/2006/relationships/hyperlink" Target="https://doi.org/10.5296/ijl.v6i1.482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3092/lo.37.1253" TargetMode="External"/><Relationship Id="rId11" Type="http://schemas.openxmlformats.org/officeDocument/2006/relationships/hyperlink" Target="https://doi.org/10.32996/ijllt.2022.5.6.5" TargetMode="External"/><Relationship Id="rId5" Type="http://schemas.openxmlformats.org/officeDocument/2006/relationships/webSettings" Target="webSettings.xml"/><Relationship Id="rId15" Type="http://schemas.openxmlformats.org/officeDocument/2006/relationships/hyperlink" Target="https://doi.org/10.2991/icoelt-18.2019.22" TargetMode="External"/><Relationship Id="rId10" Type="http://schemas.openxmlformats.org/officeDocument/2006/relationships/hyperlink" Target="https://docta.ucm.es/entities/publication/21b4aaef-2f37-4d46-af6f-a0b5c05ce76b?utm_source=chatgpt.com" TargetMode="External"/><Relationship Id="rId4" Type="http://schemas.openxmlformats.org/officeDocument/2006/relationships/settings" Target="settings.xml"/><Relationship Id="rId9" Type="http://schemas.openxmlformats.org/officeDocument/2006/relationships/hyperlink" Target="https://hdl.handle.net/20.500.14352/19918" TargetMode="External"/><Relationship Id="rId14" Type="http://schemas.openxmlformats.org/officeDocument/2006/relationships/hyperlink" Target="https://doi.org/10.1080/095441695087178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7829</Words>
  <Characters>44631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ZES</dc:creator>
  <cp:lastModifiedBy> DR ZES</cp:lastModifiedBy>
  <cp:revision>2</cp:revision>
  <dcterms:created xsi:type="dcterms:W3CDTF">2026-03-16T06:58:00Z</dcterms:created>
  <dcterms:modified xsi:type="dcterms:W3CDTF">2026-03-16T06:58:00Z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b7d53103-4a27-44c0-a476-ae084aa57464</vt:lpwstr>
  </property>
</Properties>
</file>