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B3D9E" w14:textId="258295AE" w:rsidR="00E47D40" w:rsidRDefault="005E755F" w:rsidP="00E47D40">
      <w:pPr>
        <w:spacing w:before="100" w:beforeAutospacing="1" w:after="100" w:afterAutospacing="1" w:line="240" w:lineRule="auto"/>
        <w:jc w:val="center"/>
        <w:outlineLvl w:val="2"/>
        <w:rPr>
          <w:rFonts w:ascii="Times New Roman" w:eastAsia="Times New Roman" w:hAnsi="Times New Roman" w:cs="Times New Roman"/>
          <w:b/>
          <w:bCs/>
          <w:kern w:val="0"/>
          <w14:ligatures w14:val="none"/>
        </w:rPr>
      </w:pPr>
      <w:r w:rsidRPr="00C76F2D">
        <w:rPr>
          <w:rFonts w:ascii="Times New Roman" w:eastAsia="Times New Roman" w:hAnsi="Times New Roman" w:cs="Times New Roman"/>
          <w:b/>
          <w:bCs/>
          <w:kern w:val="0"/>
          <w14:ligatures w14:val="none"/>
        </w:rPr>
        <w:t>Personal Pronouns and Audience Engagement in Undergraduate Oral Presentations: A Study of Interpersonal Strategies at UPSA</w:t>
      </w:r>
    </w:p>
    <w:p w14:paraId="4AB848C3" w14:textId="77777777" w:rsidR="0026299B" w:rsidRPr="00E05240" w:rsidRDefault="0026299B" w:rsidP="0026299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05240">
        <w:rPr>
          <w:rFonts w:ascii="Times New Roman" w:eastAsia="Times New Roman" w:hAnsi="Times New Roman" w:cs="Times New Roman"/>
          <w:b/>
          <w:bCs/>
          <w:kern w:val="0"/>
          <w14:ligatures w14:val="none"/>
        </w:rPr>
        <w:t>Abstract</w:t>
      </w:r>
    </w:p>
    <w:p w14:paraId="1ACC4AF1" w14:textId="145831DB" w:rsidR="0026299B" w:rsidRPr="0026299B" w:rsidRDefault="0026299B" w:rsidP="0026299B">
      <w:pPr>
        <w:spacing w:before="100" w:beforeAutospacing="1" w:after="100" w:afterAutospacing="1" w:line="240" w:lineRule="auto"/>
        <w:rPr>
          <w:rFonts w:ascii="Times New Roman" w:eastAsia="Times New Roman" w:hAnsi="Times New Roman" w:cs="Times New Roman"/>
          <w:kern w:val="0"/>
          <w14:ligatures w14:val="none"/>
        </w:rPr>
      </w:pPr>
      <w:r w:rsidRPr="0026299B">
        <w:rPr>
          <w:rFonts w:ascii="Times New Roman" w:eastAsia="Times New Roman" w:hAnsi="Times New Roman" w:cs="Times New Roman"/>
          <w:kern w:val="0"/>
          <w14:ligatures w14:val="none"/>
        </w:rPr>
        <w:t>This study investigates the strategic deployment of personal pronouns as interpersonal communication strategies in undergraduate oral presentations at the University of Professional Studies, Accra (UPSA). Adopting a qualitatively driven mixed-methods approach, the research employed discourse analysis of five audio-recorded presentation transcripts from diverse academic disciplines</w:t>
      </w:r>
      <w:r>
        <w:rPr>
          <w:rFonts w:ascii="Times New Roman" w:eastAsia="Times New Roman" w:hAnsi="Times New Roman" w:cs="Times New Roman"/>
          <w:kern w:val="0"/>
          <w14:ligatures w14:val="none"/>
        </w:rPr>
        <w:t xml:space="preserve"> </w:t>
      </w:r>
      <w:r w:rsidRPr="0026299B">
        <w:rPr>
          <w:rFonts w:ascii="Times New Roman" w:eastAsia="Times New Roman" w:hAnsi="Times New Roman" w:cs="Times New Roman"/>
          <w:kern w:val="0"/>
          <w14:ligatures w14:val="none"/>
        </w:rPr>
        <w:t>supplemented by descriptive frequency counts of pronoun occurrences. The primary objective was to identify common pronoun usage patterns, quantify their frequency, and elucidate their contribution to audience engagement and interpersonal connection. Findings reveal a pervasive and strategic use of first-person plural pronouns ("we," "our," "us") across all presentations, primarily serving as an inclusionary device to foster a sense of shared experience, establish presenter credibility, and highlight collective responsibility. Disciplinary variations emerged in the application of second-person pronouns ("you"), which were selectively employed for direct advice, calls to action, and audience self-reflection, particularly within the Information Technology and Accounting and Finance presentations. Additionally, the judicious use of first-person singular pronouns ("I") personalized content through anecdotal illustrations, enhancing relatability. This study concludes that UPSA undergraduate students exhibit a sophisticated linguistic awareness, employing pronouns as powerful tools to shape audience perception and engagement. The findings underscore the critical role of personal pronouns in effective academic communication and offer pedagogical implications for enhancing presentation skills.</w:t>
      </w:r>
    </w:p>
    <w:p w14:paraId="2A63BAD2" w14:textId="77777777" w:rsidR="0026299B" w:rsidRPr="0026299B" w:rsidRDefault="0026299B" w:rsidP="0026299B">
      <w:pPr>
        <w:spacing w:before="100" w:beforeAutospacing="1" w:after="100" w:afterAutospacing="1" w:line="240" w:lineRule="auto"/>
        <w:rPr>
          <w:rFonts w:ascii="Times New Roman" w:eastAsia="Times New Roman" w:hAnsi="Times New Roman" w:cs="Times New Roman"/>
          <w:kern w:val="0"/>
          <w14:ligatures w14:val="none"/>
        </w:rPr>
      </w:pPr>
      <w:r w:rsidRPr="0026299B">
        <w:rPr>
          <w:rFonts w:ascii="Times New Roman" w:eastAsia="Times New Roman" w:hAnsi="Times New Roman" w:cs="Times New Roman"/>
          <w:b/>
          <w:bCs/>
          <w:kern w:val="0"/>
          <w14:ligatures w14:val="none"/>
        </w:rPr>
        <w:t>Keywords:</w:t>
      </w:r>
      <w:r w:rsidRPr="0026299B">
        <w:rPr>
          <w:rFonts w:ascii="Times New Roman" w:eastAsia="Times New Roman" w:hAnsi="Times New Roman" w:cs="Times New Roman"/>
          <w:kern w:val="0"/>
          <w14:ligatures w14:val="none"/>
        </w:rPr>
        <w:t xml:space="preserve"> Personal pronouns, audience engagement, oral presentations, interpersonal strategies, discourse analysis, undergraduate students, Ghana, linguistic choices.</w:t>
      </w:r>
    </w:p>
    <w:p w14:paraId="13A99503" w14:textId="77777777" w:rsidR="0026299B" w:rsidRDefault="0026299B" w:rsidP="004321A5">
      <w:pPr>
        <w:spacing w:before="100" w:beforeAutospacing="1" w:after="100" w:afterAutospacing="1" w:line="240" w:lineRule="auto"/>
        <w:outlineLvl w:val="2"/>
        <w:rPr>
          <w:rFonts w:ascii="Times New Roman" w:eastAsia="Times New Roman" w:hAnsi="Times New Roman" w:cs="Times New Roman"/>
          <w:b/>
          <w:bCs/>
          <w:kern w:val="0"/>
          <w14:ligatures w14:val="none"/>
        </w:rPr>
      </w:pPr>
    </w:p>
    <w:p w14:paraId="50EE0FEB" w14:textId="4E6C7F86" w:rsidR="00C76F2D" w:rsidRPr="00C76F2D" w:rsidRDefault="00C76F2D" w:rsidP="00C76F2D">
      <w:pPr>
        <w:spacing w:before="100" w:beforeAutospacing="1" w:after="100" w:afterAutospacing="1" w:line="240" w:lineRule="auto"/>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Introduction</w:t>
      </w:r>
    </w:p>
    <w:p w14:paraId="24DD623D" w14:textId="77777777" w:rsidR="00B6749F" w:rsidRDefault="00B6749F" w:rsidP="00B6749F">
      <w:pPr>
        <w:pStyle w:val="NormalWeb"/>
      </w:pPr>
      <w:r>
        <w:t>Oral academic presentations constitute a critical genre within higher education, encompassing more than the mere transmission of ideas. Defined as “a clear articulation of ideas, based on and referencing sources or research evidence, in which the presenter leads the audience to logical and sound conclusions” (</w:t>
      </w:r>
      <w:proofErr w:type="spellStart"/>
      <w:r>
        <w:t>Levrai</w:t>
      </w:r>
      <w:proofErr w:type="spellEnd"/>
      <w:r>
        <w:t xml:space="preserve"> &amp; Bolster, 2015), such presentations demand not only analytical rigor but also a deep understanding of the subject matter that extends beyond the presented content. As Živković (2014) emphasizes, oral presentations are not monologic performances but dialogic events that integrate verbal and non-verbal elements to foster interaction. They are typically delivered individually or collaboratively on course-related topics (Ho et al., 2023), and have become an integral part of teaching, learning, and assessment across disciplines and professional settings (Chang &amp; Huang, 2015).</w:t>
      </w:r>
    </w:p>
    <w:p w14:paraId="5C0E8BDC" w14:textId="77777777" w:rsidR="00B6749F" w:rsidRDefault="00B6749F" w:rsidP="00B6749F">
      <w:pPr>
        <w:pStyle w:val="NormalWeb"/>
      </w:pPr>
      <w:r>
        <w:t xml:space="preserve">In higher education globally, and increasingly in Ghana, oral presentations are recognized as essential tools for academic achievement and career readiness (Zakaria et al., 2023; Fallows &amp; Steven, 2000). These presentations sharpen students’ communication and language skills, boost confidence, and enhance overall academic performance (Van Emden &amp; Becker, 2017; Ho et al., </w:t>
      </w:r>
      <w:r>
        <w:lastRenderedPageBreak/>
        <w:t>2023). Furthermore, they support the development of transferable skills such as planning, information management, critical thinking, and problem-solving—competencies highly valued in the modern workforce (Fallows &amp; Steven, 2000).</w:t>
      </w:r>
    </w:p>
    <w:p w14:paraId="35185EA0" w14:textId="77777777" w:rsidR="00B6749F" w:rsidRDefault="00B6749F" w:rsidP="00B6749F">
      <w:pPr>
        <w:pStyle w:val="NormalWeb"/>
      </w:pPr>
      <w:r>
        <w:t>Beyond cognitive and linguistic competencies, oral presentations also facilitate deeper engagement with content, improvement in delivery techniques, and mastery of non-verbal communication such as eye contact and gestures (Brooks &amp; Wilson, 2014; Tsang, 2020). They provide a platform for students to develop fluency, self-efficacy, and motivation in public speaking, especially in English as a Second Language (ESL) contexts (Ekmekçi, 2018). Moreover, presentations immerse students in academic discourse communities, enabling them to practice persuasive and informed argumentation (Dumlao, 2020; Nash et al., 2016).</w:t>
      </w:r>
    </w:p>
    <w:p w14:paraId="02F2E297" w14:textId="77777777" w:rsidR="00B6749F" w:rsidRDefault="00B6749F" w:rsidP="00B6749F">
      <w:pPr>
        <w:pStyle w:val="NormalWeb"/>
      </w:pPr>
      <w:r>
        <w:t>However, despite their benefits, students often face considerable challenges. These include limited preparation time, restricted vocabulary, pronunciation issues, and psychological barriers such as fear of criticism, performance anxiety, and apprehension about audience judgment (Zakaria et al., 2023; Grieve et al., 2021). These challenges, especially in multilingual settings like Ghana, may compromise delivery fluency and overall presentation effectiveness (Ho et al., 2023).</w:t>
      </w:r>
    </w:p>
    <w:p w14:paraId="3AEB72C1" w14:textId="77777777" w:rsidR="00B6749F" w:rsidRDefault="00B6749F" w:rsidP="00B6749F">
      <w:pPr>
        <w:pStyle w:val="NormalWeb"/>
      </w:pPr>
      <w:r>
        <w:t xml:space="preserve">While existing scholarship has explored structural and rhetorical elements of effective presentations—such as the use of Monroe’s Motivated Sequence (Grand Valley State University Speech Lab, 2025), visual aids, and non-verbal cues (Keo et al., 2025)—there remains limited attention to the interpersonal dimension of audience engagement. In particular, the role of </w:t>
      </w:r>
      <w:r>
        <w:rPr>
          <w:rStyle w:val="Emphasis"/>
          <w:rFonts w:eastAsiaTheme="majorEastAsia"/>
        </w:rPr>
        <w:t>personal pronouns</w:t>
      </w:r>
      <w:r>
        <w:t xml:space="preserve"> as linguistic devices that build rapport, foster inclusivity, and create a sense of shared experience is underexplored. Although interpersonal strategies are often implicitly employed by student presenters, their explicit use and communicative function remain insufficiently documented in the context of undergraduate presentations.</w:t>
      </w:r>
    </w:p>
    <w:p w14:paraId="759E1CEB" w14:textId="77777777" w:rsidR="00B6749F" w:rsidRDefault="00B6749F" w:rsidP="00B6749F">
      <w:pPr>
        <w:pStyle w:val="NormalWeb"/>
      </w:pPr>
      <w:r>
        <w:t>This study seeks to fill this critical gap by examining the interpersonal strategies used by undergraduate students at the University of Professional Studies, Accra (UPSA), with a specific focus on the use of personal pronouns during oral academic presentations. The research aims to investigate how these pronouns are utilized to engage audiences and establish interpersonal connections. Specifically, the study addresses the following research questions:</w:t>
      </w:r>
    </w:p>
    <w:p w14:paraId="4DC86D2A" w14:textId="77777777" w:rsidR="00B6749F" w:rsidRDefault="00B6749F" w:rsidP="00B6749F">
      <w:pPr>
        <w:pStyle w:val="NormalWeb"/>
        <w:numPr>
          <w:ilvl w:val="0"/>
          <w:numId w:val="29"/>
        </w:numPr>
      </w:pPr>
      <w:r>
        <w:t>What types of personal pronouns are commonly used by UPSA students during presentations?</w:t>
      </w:r>
    </w:p>
    <w:p w14:paraId="1D10BF99" w14:textId="77777777" w:rsidR="00B6749F" w:rsidRDefault="00B6749F" w:rsidP="00B6749F">
      <w:pPr>
        <w:pStyle w:val="NormalWeb"/>
        <w:numPr>
          <w:ilvl w:val="0"/>
          <w:numId w:val="29"/>
        </w:numPr>
      </w:pPr>
      <w:r>
        <w:t>How do students use personal pronouns to construct interpersonal relationships with their audience?</w:t>
      </w:r>
    </w:p>
    <w:p w14:paraId="61F95D8D" w14:textId="461CB613" w:rsidR="00B6749F" w:rsidRDefault="00B6749F" w:rsidP="00B6749F">
      <w:pPr>
        <w:pStyle w:val="NormalWeb"/>
      </w:pPr>
      <w:r>
        <w:t>In the Ghanaian higher education context—characterized by increasing emphasis on communicative competence in both academic and professional domains—this research offers timely and practical insights. By analyzing the use of personal pronouns as tools for audience engagement, the study contributes to the development of pedagogically informed communication training programs. These findings have the potential to enhance students’ presentation skills, reduce public speaking anxiety, and equip graduates with advanced interpersonal communication strategies essential for success in an increasingly globalized workforce.</w:t>
      </w:r>
    </w:p>
    <w:p w14:paraId="039C6F15"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b/>
          <w:bCs/>
          <w:kern w:val="0"/>
          <w14:ligatures w14:val="none"/>
        </w:rPr>
        <w:lastRenderedPageBreak/>
        <w:t>Literature Review</w:t>
      </w:r>
    </w:p>
    <w:p w14:paraId="235E2C8E"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This literature review explores the intersection of personal pronouns and audience engagement strategies in academic oral presentations, particularly within undergraduate education. It draws on three key thematic strands: the interpersonal functions of personal pronouns, techniques for audience engagement in student presentations, and the role of interpersonal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in academic speech. The review also highlights a critical gap in the literature concerning these communicative features in African, and specifically Ghanaian, higher education contexts.</w:t>
      </w:r>
    </w:p>
    <w:p w14:paraId="6EE018B4" w14:textId="77777777" w:rsidR="00B6749F" w:rsidRPr="00B6749F" w:rsidRDefault="00B6749F" w:rsidP="00B6749F">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B6749F">
        <w:rPr>
          <w:rFonts w:ascii="Times New Roman" w:eastAsia="Times New Roman" w:hAnsi="Times New Roman" w:cs="Times New Roman"/>
          <w:b/>
          <w:bCs/>
          <w:kern w:val="0"/>
          <w14:ligatures w14:val="none"/>
        </w:rPr>
        <w:t>Personal Pronouns and Interpersonal Positioning</w:t>
      </w:r>
    </w:p>
    <w:p w14:paraId="2620986B"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Personal pronouns play a pivotal role in shaping interpersonal relationships in spoken academic discourse. Kuo (1999) underscores their centrality in face-to-face communication, noting that pronouns such as “I,” “we,” and “you” function as linguistic resources that define speaker identity, direct audience focus, and foster relational engagement. These pronouns are not merely grammatical tools but serve rhetorical functions—signaling stance, inviting solidarity, and demarcating boundaries between the speaker and the audience.</w:t>
      </w:r>
    </w:p>
    <w:p w14:paraId="4B84116B"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Although Kuo’s (1999) original study was situated within the domain of written academic discourse, particularly scientific articles, its insights hold considerable relevance for spoken genres. He demonstrated that the use of personal pronouns reflects writers' conceptions of authorship, disciplinary alignment, and audience relationships. However, </w:t>
      </w:r>
      <w:proofErr w:type="spellStart"/>
      <w:r w:rsidRPr="00B6749F">
        <w:rPr>
          <w:rFonts w:ascii="Times New Roman" w:eastAsia="Times New Roman" w:hAnsi="Times New Roman" w:cs="Times New Roman"/>
          <w:kern w:val="0"/>
          <w14:ligatures w14:val="none"/>
        </w:rPr>
        <w:t>MacIntyre</w:t>
      </w:r>
      <w:proofErr w:type="spellEnd"/>
      <w:r w:rsidRPr="00B6749F">
        <w:rPr>
          <w:rFonts w:ascii="Times New Roman" w:eastAsia="Times New Roman" w:hAnsi="Times New Roman" w:cs="Times New Roman"/>
          <w:kern w:val="0"/>
          <w14:ligatures w14:val="none"/>
        </w:rPr>
        <w:t xml:space="preserve"> (2017) critiques the pedagogical landscape, arguing that while pronoun use is well-documented, instructional strategies to help students consciously use them for rhetorical effect remain underdeveloped. This underscores the need for targeted pedagogical frameworks that guide students in using pronouns to construct academic identity and interpersonal connection in oral contexts.</w:t>
      </w:r>
    </w:p>
    <w:p w14:paraId="249D19D4" w14:textId="77777777" w:rsidR="00B6749F" w:rsidRPr="00B6749F" w:rsidRDefault="00B6749F" w:rsidP="00B6749F">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B6749F">
        <w:rPr>
          <w:rFonts w:ascii="Times New Roman" w:eastAsia="Times New Roman" w:hAnsi="Times New Roman" w:cs="Times New Roman"/>
          <w:b/>
          <w:bCs/>
          <w:kern w:val="0"/>
          <w14:ligatures w14:val="none"/>
        </w:rPr>
        <w:t>Audience Engagement in Student Presentations</w:t>
      </w:r>
    </w:p>
    <w:p w14:paraId="39F49955"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Contemporary scholarship increasingly emphasizes a shift from monologic to dialogic presentation styles, especially within academic environments. Traditional lecture formats, often marked by one-way information flow, have been critiqued for promoting passive learning and disengagement (Usera, 2023). As Bonwell (1996) noted, such formats limit opportunities for feedback, attentional retention, and deeper learning, highlighting the imperative for more interactive communication approaches in student presentations.</w:t>
      </w:r>
    </w:p>
    <w:p w14:paraId="77AB1802"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Despite this pedagogical evolution, many public speaking textbooks and instructional materials still fail to provide explicit guidance on audience engagement strategies (Fraleigh &amp; Tuman, 2019; Gamble &amp; Gamble, 2020; Lucas, 2019). Similarly, widely used speech evaluation rubrics rarely include audience engagement as a distinct criterion (Morreale et al., 2007). This suggests a need to reframe presentation pedagogy around dynamic speaker-audience interaction.</w:t>
      </w:r>
    </w:p>
    <w:p w14:paraId="79C50586"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The framework of active learning offers a promising model. Mallin (2017) proposed the “interactive lecture,” integrating traditional presentation techniques with audience participation. Usera (2023) operationalized this idea through five universal Audience Engagement Techniques </w:t>
      </w:r>
      <w:r w:rsidRPr="00B6749F">
        <w:rPr>
          <w:rFonts w:ascii="Times New Roman" w:eastAsia="Times New Roman" w:hAnsi="Times New Roman" w:cs="Times New Roman"/>
          <w:kern w:val="0"/>
          <w14:ligatures w14:val="none"/>
        </w:rPr>
        <w:lastRenderedPageBreak/>
        <w:t>(AETs): Polling, Q&amp;A, Audience Recitation, Imagination Exercises, and Reflection Activities. These techniques transform presentations into dialogic performances, aligning with Chi’s (2009) taxonomy of active learning. Similarly, the Think-Pair-Square-Share (TPSS) method has proven effective in enhancing oral communication and critical thinking skills through structured audience interaction (Kaddoura, 2013; Raba, 2017).</w:t>
      </w:r>
    </w:p>
    <w:p w14:paraId="1671EF2D"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Beyond specific techniques, the structure and clarity of content are central to engagement. Suwartono (2021) argues that comprehensibility and coherence significantly influence audience attention and retention. This is supported by findings that presentation quality, including the effective use of visual aids, strongly affects comprehension (Dewi &amp; Izzati, 2020; </w:t>
      </w:r>
      <w:proofErr w:type="spellStart"/>
      <w:r w:rsidRPr="00B6749F">
        <w:rPr>
          <w:rFonts w:ascii="Times New Roman" w:eastAsia="Times New Roman" w:hAnsi="Times New Roman" w:cs="Times New Roman"/>
          <w:kern w:val="0"/>
          <w14:ligatures w14:val="none"/>
        </w:rPr>
        <w:t>Sfenrianto</w:t>
      </w:r>
      <w:proofErr w:type="spellEnd"/>
      <w:r w:rsidRPr="00B6749F">
        <w:rPr>
          <w:rFonts w:ascii="Times New Roman" w:eastAsia="Times New Roman" w:hAnsi="Times New Roman" w:cs="Times New Roman"/>
          <w:kern w:val="0"/>
          <w14:ligatures w14:val="none"/>
        </w:rPr>
        <w:t xml:space="preserve"> et al., 2018). However, misuse of text-heavy slides often impedes engagement (Uzun &amp; Kilis, 2019). A shift toward audience-centered design—prioritizing clarity and relevance over speaker preferences—has therefore been advocated (Bond &amp; </w:t>
      </w:r>
      <w:proofErr w:type="spellStart"/>
      <w:r w:rsidRPr="00B6749F">
        <w:rPr>
          <w:rFonts w:ascii="Times New Roman" w:eastAsia="Times New Roman" w:hAnsi="Times New Roman" w:cs="Times New Roman"/>
          <w:kern w:val="0"/>
          <w14:ligatures w14:val="none"/>
        </w:rPr>
        <w:t>Bedenlier</w:t>
      </w:r>
      <w:proofErr w:type="spellEnd"/>
      <w:r w:rsidRPr="00B6749F">
        <w:rPr>
          <w:rFonts w:ascii="Times New Roman" w:eastAsia="Times New Roman" w:hAnsi="Times New Roman" w:cs="Times New Roman"/>
          <w:kern w:val="0"/>
          <w14:ligatures w14:val="none"/>
        </w:rPr>
        <w:t xml:space="preserve">, 2019; </w:t>
      </w:r>
      <w:proofErr w:type="spellStart"/>
      <w:r w:rsidRPr="00B6749F">
        <w:rPr>
          <w:rFonts w:ascii="Times New Roman" w:eastAsia="Times New Roman" w:hAnsi="Times New Roman" w:cs="Times New Roman"/>
          <w:kern w:val="0"/>
          <w14:ligatures w14:val="none"/>
        </w:rPr>
        <w:t>Sakulin</w:t>
      </w:r>
      <w:proofErr w:type="spellEnd"/>
      <w:r w:rsidRPr="00B6749F">
        <w:rPr>
          <w:rFonts w:ascii="Times New Roman" w:eastAsia="Times New Roman" w:hAnsi="Times New Roman" w:cs="Times New Roman"/>
          <w:kern w:val="0"/>
          <w14:ligatures w14:val="none"/>
        </w:rPr>
        <w:t xml:space="preserve"> et al., 2021).</w:t>
      </w:r>
    </w:p>
    <w:p w14:paraId="2BF150D0" w14:textId="77777777" w:rsid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Audience engagement is also a central concern in digital communication and online learning environments. Hyland (2010) observed that engagement strategies are particularly abundant in digital science discourse. Research in virtual learning contexts further highlights the importance of student-content, student-instructor, and student-student interactions for maintaining attention and ensuring meaningful learning experiences (Bernard et al., 2009; Martin &amp; Bolliger, 2018). The “Seven Principles for Good Practice in Undergraduate Education” (Chickering &amp; Gamson, 1987) and Moore’s (1993) interaction theory underscore the foundational role of interactivity in effective pedagogy.</w:t>
      </w:r>
    </w:p>
    <w:p w14:paraId="3692D56D" w14:textId="77777777" w:rsidR="00140AA4" w:rsidRPr="00B6749F" w:rsidRDefault="00140AA4" w:rsidP="00B6749F">
      <w:pPr>
        <w:spacing w:before="100" w:beforeAutospacing="1" w:after="100" w:afterAutospacing="1" w:line="240" w:lineRule="auto"/>
        <w:rPr>
          <w:rFonts w:ascii="Times New Roman" w:eastAsia="Times New Roman" w:hAnsi="Times New Roman" w:cs="Times New Roman"/>
          <w:kern w:val="0"/>
          <w14:ligatures w14:val="none"/>
        </w:rPr>
      </w:pPr>
    </w:p>
    <w:p w14:paraId="63B60FA1" w14:textId="77777777" w:rsidR="00B6749F" w:rsidRPr="00B6749F" w:rsidRDefault="00B6749F" w:rsidP="00B6749F">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B6749F">
        <w:rPr>
          <w:rFonts w:ascii="Times New Roman" w:eastAsia="Times New Roman" w:hAnsi="Times New Roman" w:cs="Times New Roman"/>
          <w:b/>
          <w:bCs/>
          <w:kern w:val="0"/>
          <w14:ligatures w14:val="none"/>
        </w:rPr>
        <w:t xml:space="preserve">Interpersonal </w:t>
      </w:r>
      <w:proofErr w:type="spellStart"/>
      <w:r w:rsidRPr="00B6749F">
        <w:rPr>
          <w:rFonts w:ascii="Times New Roman" w:eastAsia="Times New Roman" w:hAnsi="Times New Roman" w:cs="Times New Roman"/>
          <w:b/>
          <w:bCs/>
          <w:kern w:val="0"/>
          <w14:ligatures w14:val="none"/>
        </w:rPr>
        <w:t>Metadiscourse</w:t>
      </w:r>
      <w:proofErr w:type="spellEnd"/>
      <w:r w:rsidRPr="00B6749F">
        <w:rPr>
          <w:rFonts w:ascii="Times New Roman" w:eastAsia="Times New Roman" w:hAnsi="Times New Roman" w:cs="Times New Roman"/>
          <w:b/>
          <w:bCs/>
          <w:kern w:val="0"/>
          <w14:ligatures w14:val="none"/>
        </w:rPr>
        <w:t xml:space="preserve"> in Academic Speech</w:t>
      </w:r>
    </w:p>
    <w:p w14:paraId="5A828C0C"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Interpersonal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refers to linguistic markers that signal the speaker’s stance, attitude, and engagement with the audience. Rooted in Halliday’s (1978, 1985) interpersonal function of language,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enables speakers to manage relationships with their audience and guide interpretation of content (Cheng &amp; Steffensen, 1996). Vande Kopple (1985) conceptualized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as serving interpersonal functions such as expressing commitment, guiding interpretation, and creating emotional resonance.</w:t>
      </w:r>
    </w:p>
    <w:p w14:paraId="5D438C2A"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Much of the early research on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focused on written academic genres, particularly research articles (Hyland, 1996, 1998, 1999; Ozdemir &amp; Longo, 2014; Jiang &amp; Hyland, 2016). However, its relevance to spoken academic discourse has gained traction, especially in studies on lectures and student presentations (Hyland, 2017). Ahour and Maleki (2014) found that explicit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instruction significantly improved the speaking performance of Iranian EFL learners, while Zareifard and </w:t>
      </w:r>
      <w:proofErr w:type="spellStart"/>
      <w:r w:rsidRPr="00B6749F">
        <w:rPr>
          <w:rFonts w:ascii="Times New Roman" w:eastAsia="Times New Roman" w:hAnsi="Times New Roman" w:cs="Times New Roman"/>
          <w:kern w:val="0"/>
          <w14:ligatures w14:val="none"/>
        </w:rPr>
        <w:t>Alinezhad</w:t>
      </w:r>
      <w:proofErr w:type="spellEnd"/>
      <w:r w:rsidRPr="00B6749F">
        <w:rPr>
          <w:rFonts w:ascii="Times New Roman" w:eastAsia="Times New Roman" w:hAnsi="Times New Roman" w:cs="Times New Roman"/>
          <w:kern w:val="0"/>
          <w14:ligatures w14:val="none"/>
        </w:rPr>
        <w:t xml:space="preserve"> (2014) observed gendered patterns in the use of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markers in academic defense seminars, particularly in self-mention and hedging strategies.</w:t>
      </w:r>
    </w:p>
    <w:p w14:paraId="0364FF01"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Beyond educational settings, interpersonal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has been analyzed in political, business, and media discourse. For example, </w:t>
      </w:r>
      <w:proofErr w:type="spellStart"/>
      <w:r w:rsidRPr="00B6749F">
        <w:rPr>
          <w:rFonts w:ascii="Times New Roman" w:eastAsia="Times New Roman" w:hAnsi="Times New Roman" w:cs="Times New Roman"/>
          <w:kern w:val="0"/>
          <w14:ligatures w14:val="none"/>
        </w:rPr>
        <w:t>Azijah</w:t>
      </w:r>
      <w:proofErr w:type="spellEnd"/>
      <w:r w:rsidRPr="00B6749F">
        <w:rPr>
          <w:rFonts w:ascii="Times New Roman" w:eastAsia="Times New Roman" w:hAnsi="Times New Roman" w:cs="Times New Roman"/>
          <w:kern w:val="0"/>
          <w14:ligatures w14:val="none"/>
        </w:rPr>
        <w:t xml:space="preserve"> and Gulo (2020) examined New Zealand Prime Minister Jacinda Ardern’s speeches, identifying strategic uses of engagement markers to </w:t>
      </w:r>
      <w:r w:rsidRPr="00B6749F">
        <w:rPr>
          <w:rFonts w:ascii="Times New Roman" w:eastAsia="Times New Roman" w:hAnsi="Times New Roman" w:cs="Times New Roman"/>
          <w:kern w:val="0"/>
          <w14:ligatures w14:val="none"/>
        </w:rPr>
        <w:lastRenderedPageBreak/>
        <w:t xml:space="preserve">build public trust. In the corporate sphere, </w:t>
      </w:r>
      <w:proofErr w:type="spellStart"/>
      <w:r w:rsidRPr="00B6749F">
        <w:rPr>
          <w:rFonts w:ascii="Times New Roman" w:eastAsia="Times New Roman" w:hAnsi="Times New Roman" w:cs="Times New Roman"/>
          <w:kern w:val="0"/>
          <w14:ligatures w14:val="none"/>
        </w:rPr>
        <w:t>Kuswoyo</w:t>
      </w:r>
      <w:proofErr w:type="spellEnd"/>
      <w:r w:rsidRPr="00B6749F">
        <w:rPr>
          <w:rFonts w:ascii="Times New Roman" w:eastAsia="Times New Roman" w:hAnsi="Times New Roman" w:cs="Times New Roman"/>
          <w:kern w:val="0"/>
          <w14:ligatures w14:val="none"/>
        </w:rPr>
        <w:t xml:space="preserve"> and Siregar (2019) analyzed Steve Jobs’ presentations, concluding that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markers were integral to persuasive and engaging delivery. These findings support the broader argument that effective public speaking—whether academic or professional—relies on the speaker’s ability to connect with the audience through strategic language choices (</w:t>
      </w:r>
      <w:proofErr w:type="spellStart"/>
      <w:r w:rsidRPr="00B6749F">
        <w:rPr>
          <w:rFonts w:ascii="Times New Roman" w:eastAsia="Times New Roman" w:hAnsi="Times New Roman" w:cs="Times New Roman"/>
          <w:kern w:val="0"/>
          <w14:ligatures w14:val="none"/>
        </w:rPr>
        <w:t>Coughter</w:t>
      </w:r>
      <w:proofErr w:type="spellEnd"/>
      <w:r w:rsidRPr="00B6749F">
        <w:rPr>
          <w:rFonts w:ascii="Times New Roman" w:eastAsia="Times New Roman" w:hAnsi="Times New Roman" w:cs="Times New Roman"/>
          <w:kern w:val="0"/>
          <w14:ligatures w14:val="none"/>
        </w:rPr>
        <w:t>, 2012; Jang &amp; Wagner, 2013).</w:t>
      </w:r>
    </w:p>
    <w:p w14:paraId="50E54990" w14:textId="3D341A04" w:rsidR="00B6749F" w:rsidRPr="00B6749F" w:rsidRDefault="00B6749F" w:rsidP="00B6749F">
      <w:pPr>
        <w:spacing w:before="100" w:beforeAutospacing="1" w:after="100" w:afterAutospacing="1" w:line="240" w:lineRule="auto"/>
        <w:rPr>
          <w:rFonts w:ascii="Times New Roman" w:eastAsia="Times New Roman" w:hAnsi="Times New Roman" w:cs="Times New Roman"/>
          <w:b/>
          <w:bCs/>
          <w:kern w:val="0"/>
          <w14:ligatures w14:val="none"/>
        </w:rPr>
      </w:pPr>
      <w:r w:rsidRPr="00B6749F">
        <w:rPr>
          <w:rFonts w:ascii="Times New Roman" w:eastAsia="Times New Roman" w:hAnsi="Times New Roman" w:cs="Times New Roman"/>
          <w:kern w:val="0"/>
          <w14:ligatures w14:val="none"/>
        </w:rPr>
        <w:t xml:space="preserve">In multimedia learning environments, Mayer (2008) proposed the “personalization principle,” suggesting that casual, conversational styles—featuring first- and second-person pronouns and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markers—enhance learner engagement. Similarly, Brame (2016) noted that personalized instructional video scripts improve comprehension by fostering a social connection with the learner. These studies reinforce the view that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not only enhances rhetorical clarity but also supports audience comprehension and emotional engagement (Aguilar, 2009; </w:t>
      </w:r>
      <w:proofErr w:type="spellStart"/>
      <w:r w:rsidRPr="00B6749F">
        <w:rPr>
          <w:rFonts w:ascii="Times New Roman" w:eastAsia="Times New Roman" w:hAnsi="Times New Roman" w:cs="Times New Roman"/>
          <w:kern w:val="0"/>
          <w14:ligatures w14:val="none"/>
        </w:rPr>
        <w:t>Rheisa</w:t>
      </w:r>
      <w:proofErr w:type="spellEnd"/>
      <w:r w:rsidRPr="00B6749F">
        <w:rPr>
          <w:rFonts w:ascii="Times New Roman" w:eastAsia="Times New Roman" w:hAnsi="Times New Roman" w:cs="Times New Roman"/>
          <w:kern w:val="0"/>
          <w14:ligatures w14:val="none"/>
        </w:rPr>
        <w:t>, 2019).</w:t>
      </w:r>
    </w:p>
    <w:p w14:paraId="0744036A"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Despite extensive research on personal pronouns, audience engagement, and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in academic contexts, there remains a notable gap concerning their application in African higher education, particularly within Ghana. While some studies have explored language use in Ghanaian political discourse (</w:t>
      </w:r>
      <w:proofErr w:type="spellStart"/>
      <w:r w:rsidRPr="00B6749F">
        <w:rPr>
          <w:rFonts w:ascii="Times New Roman" w:eastAsia="Times New Roman" w:hAnsi="Times New Roman" w:cs="Times New Roman"/>
          <w:kern w:val="0"/>
          <w14:ligatures w14:val="none"/>
        </w:rPr>
        <w:t>Abukari</w:t>
      </w:r>
      <w:proofErr w:type="spellEnd"/>
      <w:r w:rsidRPr="00B6749F">
        <w:rPr>
          <w:rFonts w:ascii="Times New Roman" w:eastAsia="Times New Roman" w:hAnsi="Times New Roman" w:cs="Times New Roman"/>
          <w:kern w:val="0"/>
          <w14:ligatures w14:val="none"/>
        </w:rPr>
        <w:t xml:space="preserve">, 2019) or syntactic features in local languages (Owusu Ansah &amp; </w:t>
      </w:r>
      <w:proofErr w:type="spellStart"/>
      <w:r w:rsidRPr="00B6749F">
        <w:rPr>
          <w:rFonts w:ascii="Times New Roman" w:eastAsia="Times New Roman" w:hAnsi="Times New Roman" w:cs="Times New Roman"/>
          <w:kern w:val="0"/>
          <w14:ligatures w14:val="none"/>
        </w:rPr>
        <w:t>Yemoti</w:t>
      </w:r>
      <w:proofErr w:type="spellEnd"/>
      <w:r w:rsidRPr="00B6749F">
        <w:rPr>
          <w:rFonts w:ascii="Times New Roman" w:eastAsia="Times New Roman" w:hAnsi="Times New Roman" w:cs="Times New Roman"/>
          <w:kern w:val="0"/>
          <w14:ligatures w14:val="none"/>
        </w:rPr>
        <w:t>, 2019), comprehensive investigations into how Ghanaian undergraduate students deploy interpersonal strategies—especially personal pronouns—in oral academic presentations are rare.</w:t>
      </w:r>
    </w:p>
    <w:p w14:paraId="5743B4C6" w14:textId="77777777"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 xml:space="preserve">Moreover, although communication skills and public speaking are recognized as essential in Ghanaian universities (Opoku, 2025), few studies have examined how students engage their audiences during presentations. Research on </w:t>
      </w:r>
      <w:proofErr w:type="spellStart"/>
      <w:r w:rsidRPr="00B6749F">
        <w:rPr>
          <w:rFonts w:ascii="Times New Roman" w:eastAsia="Times New Roman" w:hAnsi="Times New Roman" w:cs="Times New Roman"/>
          <w:kern w:val="0"/>
          <w14:ligatures w14:val="none"/>
        </w:rPr>
        <w:t>metadiscourse</w:t>
      </w:r>
      <w:proofErr w:type="spellEnd"/>
      <w:r w:rsidRPr="00B6749F">
        <w:rPr>
          <w:rFonts w:ascii="Times New Roman" w:eastAsia="Times New Roman" w:hAnsi="Times New Roman" w:cs="Times New Roman"/>
          <w:kern w:val="0"/>
          <w14:ligatures w14:val="none"/>
        </w:rPr>
        <w:t xml:space="preserve"> in Ghana has largely focused on written academic texts, overlooking its role in spoken academic performance.</w:t>
      </w:r>
    </w:p>
    <w:p w14:paraId="031A20F7" w14:textId="660732C8" w:rsidR="00B6749F" w:rsidRPr="00B6749F" w:rsidRDefault="00B6749F" w:rsidP="00B6749F">
      <w:pPr>
        <w:spacing w:before="100" w:beforeAutospacing="1" w:after="100" w:afterAutospacing="1" w:line="240" w:lineRule="auto"/>
        <w:rPr>
          <w:rFonts w:ascii="Times New Roman" w:eastAsia="Times New Roman" w:hAnsi="Times New Roman" w:cs="Times New Roman"/>
          <w:kern w:val="0"/>
          <w14:ligatures w14:val="none"/>
        </w:rPr>
      </w:pPr>
      <w:r w:rsidRPr="00B6749F">
        <w:rPr>
          <w:rFonts w:ascii="Times New Roman" w:eastAsia="Times New Roman" w:hAnsi="Times New Roman" w:cs="Times New Roman"/>
          <w:kern w:val="0"/>
          <w14:ligatures w14:val="none"/>
        </w:rPr>
        <w:t>This gap is significant, given that rhetorical and interpersonal strategies are often culturally shaped (Kaplan, 1966). Without context-specific research, pedagogical models imported from Western contexts may fail to address the unique communicative needs of Ghanaian students. Therefore, this study addresses a critical void by investigating the interpersonal strategies—particularly the use of personal pronouns—employed by students at the University of Professional Studies, Accra (UPSA) in their oral academic presentations. Findings from this study will inform localized teaching practices, enhancing students’ rhetorical competence and presentation effectiveness within and beyond the Ghanaian academic context.</w:t>
      </w:r>
    </w:p>
    <w:p w14:paraId="4706CA41" w14:textId="77777777" w:rsidR="00183650" w:rsidRPr="00183650" w:rsidRDefault="00183650" w:rsidP="00183650">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183650">
        <w:rPr>
          <w:rFonts w:ascii="Times New Roman" w:eastAsia="Times New Roman" w:hAnsi="Times New Roman" w:cs="Times New Roman"/>
          <w:b/>
          <w:bCs/>
          <w:kern w:val="0"/>
          <w14:ligatures w14:val="none"/>
        </w:rPr>
        <w:t>Methodology</w:t>
      </w:r>
    </w:p>
    <w:p w14:paraId="6A89F8B3" w14:textId="77777777" w:rsidR="00183650" w:rsidRPr="00183650" w:rsidRDefault="00183650" w:rsidP="00183650">
      <w:pPr>
        <w:spacing w:before="100" w:beforeAutospacing="1" w:after="100" w:afterAutospacing="1" w:line="240" w:lineRule="auto"/>
        <w:rPr>
          <w:rFonts w:ascii="Times New Roman" w:eastAsia="Times New Roman" w:hAnsi="Times New Roman" w:cs="Times New Roman"/>
          <w:kern w:val="0"/>
          <w14:ligatures w14:val="none"/>
        </w:rPr>
      </w:pPr>
      <w:r w:rsidRPr="00183650">
        <w:rPr>
          <w:rFonts w:ascii="Times New Roman" w:eastAsia="Times New Roman" w:hAnsi="Times New Roman" w:cs="Times New Roman"/>
          <w:kern w:val="0"/>
          <w14:ligatures w14:val="none"/>
        </w:rPr>
        <w:t xml:space="preserve">This study adopted a qualitatively driven mixed-methods approach to investigate the nuanced ways in which undergraduate students at the University of Professional Studies, Accra (UPSA), employed personal pronouns as interpersonal strategies during oral academic presentations. The primary aim was to gain a comprehensive understanding of how specific linguistic choices, particularly pronouns, facilitated audience engagement and interpersonal connection within this academic context. The qualitative design, with its embedded elements of discourse analysis, allowed for a close examination of language use within its specific social and academic environment, providing rich insights into communicative intent. To enrich interpretation and </w:t>
      </w:r>
      <w:r w:rsidRPr="00183650">
        <w:rPr>
          <w:rFonts w:ascii="Times New Roman" w:eastAsia="Times New Roman" w:hAnsi="Times New Roman" w:cs="Times New Roman"/>
          <w:kern w:val="0"/>
          <w14:ligatures w14:val="none"/>
        </w:rPr>
        <w:lastRenderedPageBreak/>
        <w:t>ensure analytical depth, the study also incorporated descriptive quantitative data, specifically the frequency of pronoun types, enabling a holistic analysis of both usage patterns and communicative functions.</w:t>
      </w:r>
    </w:p>
    <w:p w14:paraId="4A16EA1B" w14:textId="3B28B957" w:rsidR="00183650" w:rsidRPr="00183650" w:rsidRDefault="00183650" w:rsidP="00183650">
      <w:pPr>
        <w:spacing w:before="100" w:beforeAutospacing="1" w:after="100" w:afterAutospacing="1" w:line="240" w:lineRule="auto"/>
        <w:rPr>
          <w:rFonts w:ascii="Times New Roman" w:eastAsia="Times New Roman" w:hAnsi="Times New Roman" w:cs="Times New Roman"/>
          <w:kern w:val="0"/>
          <w14:ligatures w14:val="none"/>
        </w:rPr>
      </w:pPr>
      <w:r w:rsidRPr="00183650">
        <w:rPr>
          <w:rFonts w:ascii="Times New Roman" w:eastAsia="Times New Roman" w:hAnsi="Times New Roman" w:cs="Times New Roman"/>
          <w:kern w:val="0"/>
          <w14:ligatures w14:val="none"/>
        </w:rPr>
        <w:t xml:space="preserve">Participants for this study comprised undergraduate students from diverse academic programs at UPSA. A purposive sampling technique was utilized to select five groups of students from distinct academic programs: Transport and Logistics, Business Administration, Public Relations, Information Technology, and Accounting and Finance. Each group consisted of student </w:t>
      </w:r>
      <w:r w:rsidR="00F61BEA" w:rsidRPr="0035067E">
        <w:rPr>
          <w:rFonts w:ascii="Times New Roman" w:eastAsia="Times New Roman" w:hAnsi="Times New Roman" w:cs="Times New Roman"/>
          <w:kern w:val="0"/>
          <w14:ligatures w14:val="none"/>
        </w:rPr>
        <w:t xml:space="preserve">five </w:t>
      </w:r>
      <w:r w:rsidRPr="00183650">
        <w:rPr>
          <w:rFonts w:ascii="Times New Roman" w:eastAsia="Times New Roman" w:hAnsi="Times New Roman" w:cs="Times New Roman"/>
          <w:kern w:val="0"/>
          <w14:ligatures w14:val="none"/>
        </w:rPr>
        <w:t>presenters. This strategy ensured broad representation across disciplinary contexts and accurately reflected the university's academic diversity. A key criterion for inclusion was that participants must have delivered a formal oral presentation as part of their course requirements within the semester of the study.</w:t>
      </w:r>
    </w:p>
    <w:p w14:paraId="6C1FEA0B" w14:textId="77777777" w:rsidR="00183650" w:rsidRPr="00183650" w:rsidRDefault="00183650" w:rsidP="00183650">
      <w:pPr>
        <w:spacing w:before="100" w:beforeAutospacing="1" w:after="100" w:afterAutospacing="1" w:line="240" w:lineRule="auto"/>
        <w:rPr>
          <w:rFonts w:ascii="Times New Roman" w:eastAsia="Times New Roman" w:hAnsi="Times New Roman" w:cs="Times New Roman"/>
          <w:kern w:val="0"/>
          <w14:ligatures w14:val="none"/>
        </w:rPr>
      </w:pPr>
      <w:r w:rsidRPr="00183650">
        <w:rPr>
          <w:rFonts w:ascii="Times New Roman" w:eastAsia="Times New Roman" w:hAnsi="Times New Roman" w:cs="Times New Roman"/>
          <w:kern w:val="0"/>
          <w14:ligatures w14:val="none"/>
        </w:rPr>
        <w:t>Data were collected through audio recordings of the students' group presentations. The dataset consisted of five approximately 10 to 15-minute audio recordings on topics related to the impact of social media, which required students to apply critical thinking skills. These recordings were made with the full informed consent of both the students and their course instructors. The recordings specifically focused on instances of pronoun use and sentence structure within the presentations, serving as the raw material for the subsequent analysis.</w:t>
      </w:r>
    </w:p>
    <w:p w14:paraId="0499AA9E" w14:textId="77777777" w:rsidR="0035067E" w:rsidRPr="0035067E" w:rsidRDefault="00183650" w:rsidP="00183650">
      <w:pPr>
        <w:spacing w:before="100" w:beforeAutospacing="1" w:after="100" w:afterAutospacing="1" w:line="240" w:lineRule="auto"/>
        <w:rPr>
          <w:rFonts w:ascii="Times New Roman" w:eastAsia="Times New Roman" w:hAnsi="Times New Roman" w:cs="Times New Roman"/>
          <w:kern w:val="0"/>
          <w14:ligatures w14:val="none"/>
        </w:rPr>
      </w:pPr>
      <w:r w:rsidRPr="00183650">
        <w:rPr>
          <w:rFonts w:ascii="Times New Roman" w:eastAsia="Times New Roman" w:hAnsi="Times New Roman" w:cs="Times New Roman"/>
          <w:kern w:val="0"/>
          <w14:ligatures w14:val="none"/>
        </w:rPr>
        <w:t>The analytical process was conducted in two stages, guided by a discourse analytical framework rooted in interactional sociolinguistics. All recorded presentations were transcribed verbatim</w:t>
      </w:r>
      <w:r w:rsidR="00F61BEA" w:rsidRPr="0035067E">
        <w:rPr>
          <w:rFonts w:ascii="Times New Roman" w:eastAsia="Times New Roman" w:hAnsi="Times New Roman" w:cs="Times New Roman"/>
          <w:kern w:val="0"/>
          <w14:ligatures w14:val="none"/>
        </w:rPr>
        <w:t>.</w:t>
      </w:r>
      <w:r w:rsidRPr="00183650">
        <w:rPr>
          <w:rFonts w:ascii="Times New Roman" w:eastAsia="Times New Roman" w:hAnsi="Times New Roman" w:cs="Times New Roman"/>
          <w:kern w:val="0"/>
          <w14:ligatures w14:val="none"/>
        </w:rPr>
        <w:t xml:space="preserve"> Transcripts were then coded manually and analyzed, focusing on identifying and categorizing types of personal pronouns, including first-person singular ("I"), first-person plural ("we," "our," "us"), and second-person ("you," "your"). The analysis further examined the functionality of these pronouns in terms of key interpersonal strategies</w:t>
      </w:r>
      <w:r w:rsidR="00B96F74" w:rsidRPr="0035067E">
        <w:rPr>
          <w:rFonts w:ascii="Times New Roman" w:eastAsia="Times New Roman" w:hAnsi="Times New Roman" w:cs="Times New Roman"/>
          <w:kern w:val="0"/>
          <w14:ligatures w14:val="none"/>
        </w:rPr>
        <w:t xml:space="preserve">. </w:t>
      </w:r>
      <w:r w:rsidRPr="00183650">
        <w:rPr>
          <w:rFonts w:ascii="Times New Roman" w:eastAsia="Times New Roman" w:hAnsi="Times New Roman" w:cs="Times New Roman"/>
          <w:kern w:val="0"/>
          <w14:ligatures w14:val="none"/>
        </w:rPr>
        <w:t xml:space="preserve"> The second stage of analysis involved thematic exploration to identify recurring patterns in how students used pronouns to achieve specific interpersonal outcomes</w:t>
      </w:r>
      <w:r w:rsidR="0035067E" w:rsidRPr="0035067E">
        <w:rPr>
          <w:rFonts w:ascii="Times New Roman" w:eastAsia="Times New Roman" w:hAnsi="Times New Roman" w:cs="Times New Roman"/>
          <w:kern w:val="0"/>
          <w14:ligatures w14:val="none"/>
        </w:rPr>
        <w:t xml:space="preserve">. </w:t>
      </w:r>
    </w:p>
    <w:p w14:paraId="2B491B14" w14:textId="48D6BCC9" w:rsidR="00183650" w:rsidRPr="0035067E" w:rsidRDefault="00183650" w:rsidP="00E47D40">
      <w:pPr>
        <w:spacing w:before="100" w:beforeAutospacing="1" w:after="100" w:afterAutospacing="1" w:line="240" w:lineRule="auto"/>
        <w:rPr>
          <w:rFonts w:ascii="Times New Roman" w:eastAsia="Times New Roman" w:hAnsi="Times New Roman" w:cs="Times New Roman"/>
          <w:kern w:val="0"/>
          <w14:ligatures w14:val="none"/>
        </w:rPr>
      </w:pPr>
      <w:r w:rsidRPr="00183650">
        <w:rPr>
          <w:rFonts w:ascii="Times New Roman" w:eastAsia="Times New Roman" w:hAnsi="Times New Roman" w:cs="Times New Roman"/>
          <w:kern w:val="0"/>
          <w14:ligatures w14:val="none"/>
        </w:rPr>
        <w:t xml:space="preserve">Ethical considerations were central to the conduct of this study. Informed consent was obtained from all participants through a detailed consent form that clearly explained the study's purpose, procedures, and data usage. Participation was entirely voluntary, and participants retained the option to withdraw at any time without consequence. To ensure anonymity and confidentiality, all participant names and identifying information were removed from transcripts and replaced with pseudonyms (e.g., TL1, BA2, PR3). All data were securely stored, with access restricted solely to the principal researcher. Ethical clearance was sought and obtained from </w:t>
      </w:r>
      <w:r w:rsidR="0035067E" w:rsidRPr="00183650">
        <w:rPr>
          <w:rFonts w:ascii="Times New Roman" w:eastAsia="Times New Roman" w:hAnsi="Times New Roman" w:cs="Times New Roman"/>
          <w:kern w:val="0"/>
          <w14:ligatures w14:val="none"/>
        </w:rPr>
        <w:t>UPSA before</w:t>
      </w:r>
      <w:r w:rsidRPr="00183650">
        <w:rPr>
          <w:rFonts w:ascii="Times New Roman" w:eastAsia="Times New Roman" w:hAnsi="Times New Roman" w:cs="Times New Roman"/>
          <w:kern w:val="0"/>
          <w14:ligatures w14:val="none"/>
        </w:rPr>
        <w:t xml:space="preserve"> data collection commenced. Course instructors were informed of the study, and their cooperation was sought to facilitate access to classroom settings. All audio recordings were used exclusively for research purposes and were permanently deleted after transcription and analysis, in strict adherence to institutional data protection guidelines.</w:t>
      </w:r>
    </w:p>
    <w:p w14:paraId="2F7EF300" w14:textId="2221362E" w:rsidR="00E16963" w:rsidRPr="00C76F2D" w:rsidRDefault="00140AA4" w:rsidP="00E47D40">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Analysis</w:t>
      </w:r>
      <w:r w:rsidR="00F74923" w:rsidRPr="00C76F2D">
        <w:rPr>
          <w:rFonts w:ascii="Times New Roman" w:eastAsia="Times New Roman" w:hAnsi="Times New Roman" w:cs="Times New Roman"/>
          <w:b/>
          <w:bCs/>
          <w:kern w:val="0"/>
          <w14:ligatures w14:val="none"/>
        </w:rPr>
        <w:t xml:space="preserve"> and Discussions </w:t>
      </w:r>
    </w:p>
    <w:p w14:paraId="308AA83E" w14:textId="77777777" w:rsidR="00140AA4" w:rsidRPr="00D77A30"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 xml:space="preserve">This analysis examines the use of personal pronouns across </w:t>
      </w:r>
      <w:r>
        <w:rPr>
          <w:rFonts w:ascii="Times New Roman" w:eastAsia="Times New Roman" w:hAnsi="Times New Roman" w:cs="Times New Roman"/>
          <w:kern w:val="0"/>
          <w14:ligatures w14:val="none"/>
        </w:rPr>
        <w:t>five</w:t>
      </w:r>
      <w:r w:rsidRPr="00D77A30">
        <w:rPr>
          <w:rFonts w:ascii="Times New Roman" w:eastAsia="Times New Roman" w:hAnsi="Times New Roman" w:cs="Times New Roman"/>
          <w:kern w:val="0"/>
          <w14:ligatures w14:val="none"/>
        </w:rPr>
        <w:t xml:space="preserve"> undergraduate presentation transcripts</w:t>
      </w:r>
      <w:r w:rsidRPr="005D193C">
        <w:rPr>
          <w:rFonts w:ascii="Times New Roman" w:eastAsia="Times New Roman" w:hAnsi="Times New Roman" w:cs="Times New Roman"/>
          <w:kern w:val="0"/>
          <w14:ligatures w14:val="none"/>
        </w:rPr>
        <w:t xml:space="preserve"> (Transport and Logistics, Business Administration, Public Relations, Information Technology, and Accounting and Finance) </w:t>
      </w:r>
      <w:r w:rsidRPr="00D77A30">
        <w:rPr>
          <w:rFonts w:ascii="Times New Roman" w:eastAsia="Times New Roman" w:hAnsi="Times New Roman" w:cs="Times New Roman"/>
          <w:kern w:val="0"/>
          <w14:ligatures w14:val="none"/>
        </w:rPr>
        <w:t xml:space="preserve">from the University of Professional Studies, Accra </w:t>
      </w:r>
      <w:r w:rsidRPr="00D77A30">
        <w:rPr>
          <w:rFonts w:ascii="Times New Roman" w:eastAsia="Times New Roman" w:hAnsi="Times New Roman" w:cs="Times New Roman"/>
          <w:kern w:val="0"/>
          <w14:ligatures w14:val="none"/>
        </w:rPr>
        <w:lastRenderedPageBreak/>
        <w:t>(UPSA). The aim is to identify common pronoun usage, quantify their frequency, and explore how they contribute to interpersonal connection and audience engagement.</w:t>
      </w:r>
    </w:p>
    <w:p w14:paraId="52651CB4" w14:textId="77777777" w:rsidR="00140AA4" w:rsidRPr="00D77A30" w:rsidRDefault="00140AA4" w:rsidP="00140AA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Group 1 Presentation Transcript: Transport and Logistics Students</w:t>
      </w:r>
    </w:p>
    <w:p w14:paraId="0C0AF87D"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Personal Pronoun Frequency Count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1480"/>
        <w:gridCol w:w="501"/>
        <w:gridCol w:w="501"/>
        <w:gridCol w:w="501"/>
        <w:gridCol w:w="501"/>
        <w:gridCol w:w="501"/>
        <w:gridCol w:w="1322"/>
      </w:tblGrid>
      <w:tr w:rsidR="00140AA4" w:rsidRPr="00D77A30" w14:paraId="028B19B4" w14:textId="77777777" w:rsidTr="00A444F4">
        <w:trPr>
          <w:tblCellSpacing w:w="15" w:type="dxa"/>
        </w:trPr>
        <w:tc>
          <w:tcPr>
            <w:tcW w:w="0" w:type="auto"/>
            <w:vAlign w:val="center"/>
            <w:hideMark/>
          </w:tcPr>
          <w:p w14:paraId="1BEB97BF"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Pronoun</w:t>
            </w:r>
          </w:p>
        </w:tc>
        <w:tc>
          <w:tcPr>
            <w:tcW w:w="0" w:type="auto"/>
            <w:vAlign w:val="center"/>
            <w:hideMark/>
          </w:tcPr>
          <w:p w14:paraId="3829470A"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Type</w:t>
            </w:r>
          </w:p>
        </w:tc>
        <w:tc>
          <w:tcPr>
            <w:tcW w:w="0" w:type="auto"/>
            <w:vAlign w:val="center"/>
            <w:hideMark/>
          </w:tcPr>
          <w:p w14:paraId="22971D81"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TL1</w:t>
            </w:r>
          </w:p>
        </w:tc>
        <w:tc>
          <w:tcPr>
            <w:tcW w:w="0" w:type="auto"/>
            <w:vAlign w:val="center"/>
            <w:hideMark/>
          </w:tcPr>
          <w:p w14:paraId="1A53B3A9"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TL2</w:t>
            </w:r>
          </w:p>
        </w:tc>
        <w:tc>
          <w:tcPr>
            <w:tcW w:w="0" w:type="auto"/>
            <w:vAlign w:val="center"/>
            <w:hideMark/>
          </w:tcPr>
          <w:p w14:paraId="18200D0C"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TL3</w:t>
            </w:r>
          </w:p>
        </w:tc>
        <w:tc>
          <w:tcPr>
            <w:tcW w:w="0" w:type="auto"/>
            <w:vAlign w:val="center"/>
            <w:hideMark/>
          </w:tcPr>
          <w:p w14:paraId="20A1571C"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TL4</w:t>
            </w:r>
          </w:p>
        </w:tc>
        <w:tc>
          <w:tcPr>
            <w:tcW w:w="0" w:type="auto"/>
            <w:vAlign w:val="center"/>
            <w:hideMark/>
          </w:tcPr>
          <w:p w14:paraId="6897872A"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TL5</w:t>
            </w:r>
          </w:p>
        </w:tc>
        <w:tc>
          <w:tcPr>
            <w:tcW w:w="0" w:type="auto"/>
            <w:vAlign w:val="center"/>
            <w:hideMark/>
          </w:tcPr>
          <w:p w14:paraId="182946BA" w14:textId="77777777" w:rsidR="00140AA4" w:rsidRPr="00D77A30" w:rsidRDefault="00140AA4" w:rsidP="00A444F4">
            <w:pPr>
              <w:spacing w:after="0" w:line="240" w:lineRule="auto"/>
              <w:jc w:val="center"/>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Total Count</w:t>
            </w:r>
          </w:p>
        </w:tc>
      </w:tr>
      <w:tr w:rsidR="00140AA4" w:rsidRPr="00D77A30" w14:paraId="2B15CFC5" w14:textId="77777777" w:rsidTr="00A444F4">
        <w:trPr>
          <w:tblCellSpacing w:w="15" w:type="dxa"/>
        </w:trPr>
        <w:tc>
          <w:tcPr>
            <w:tcW w:w="0" w:type="auto"/>
            <w:vAlign w:val="center"/>
            <w:hideMark/>
          </w:tcPr>
          <w:p w14:paraId="2D65B07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w:t>
            </w:r>
          </w:p>
        </w:tc>
        <w:tc>
          <w:tcPr>
            <w:tcW w:w="0" w:type="auto"/>
            <w:vAlign w:val="center"/>
            <w:hideMark/>
          </w:tcPr>
          <w:p w14:paraId="3130515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25ACCA8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0E33E3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8D5B5C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9AB03A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0B7391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016F085"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r>
      <w:tr w:rsidR="00140AA4" w:rsidRPr="00D77A30" w14:paraId="694A3C44" w14:textId="77777777" w:rsidTr="00A444F4">
        <w:trPr>
          <w:tblCellSpacing w:w="15" w:type="dxa"/>
        </w:trPr>
        <w:tc>
          <w:tcPr>
            <w:tcW w:w="0" w:type="auto"/>
            <w:vAlign w:val="center"/>
            <w:hideMark/>
          </w:tcPr>
          <w:p w14:paraId="7ED08DE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We</w:t>
            </w:r>
          </w:p>
        </w:tc>
        <w:tc>
          <w:tcPr>
            <w:tcW w:w="0" w:type="auto"/>
            <w:vAlign w:val="center"/>
            <w:hideMark/>
          </w:tcPr>
          <w:p w14:paraId="21E0F93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4EC5773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5</w:t>
            </w:r>
          </w:p>
        </w:tc>
        <w:tc>
          <w:tcPr>
            <w:tcW w:w="0" w:type="auto"/>
            <w:vAlign w:val="center"/>
            <w:hideMark/>
          </w:tcPr>
          <w:p w14:paraId="087C4B3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235E073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6948D14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c>
          <w:tcPr>
            <w:tcW w:w="0" w:type="auto"/>
            <w:vAlign w:val="center"/>
            <w:hideMark/>
          </w:tcPr>
          <w:p w14:paraId="299279E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735A465C"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17</w:t>
            </w:r>
          </w:p>
        </w:tc>
      </w:tr>
      <w:tr w:rsidR="00140AA4" w:rsidRPr="00D77A30" w14:paraId="391C97D0" w14:textId="77777777" w:rsidTr="00A444F4">
        <w:trPr>
          <w:tblCellSpacing w:w="15" w:type="dxa"/>
        </w:trPr>
        <w:tc>
          <w:tcPr>
            <w:tcW w:w="0" w:type="auto"/>
            <w:vAlign w:val="center"/>
            <w:hideMark/>
          </w:tcPr>
          <w:p w14:paraId="5FF6FED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Our</w:t>
            </w:r>
          </w:p>
        </w:tc>
        <w:tc>
          <w:tcPr>
            <w:tcW w:w="0" w:type="auto"/>
            <w:vAlign w:val="center"/>
            <w:hideMark/>
          </w:tcPr>
          <w:p w14:paraId="219BDE9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73B7282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548D916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60FFFD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ED7031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99E92B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336EB4D8"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8</w:t>
            </w:r>
          </w:p>
        </w:tc>
      </w:tr>
      <w:tr w:rsidR="00140AA4" w:rsidRPr="00D77A30" w14:paraId="3006A2BA" w14:textId="77777777" w:rsidTr="00A444F4">
        <w:trPr>
          <w:tblCellSpacing w:w="15" w:type="dxa"/>
        </w:trPr>
        <w:tc>
          <w:tcPr>
            <w:tcW w:w="0" w:type="auto"/>
            <w:vAlign w:val="center"/>
            <w:hideMark/>
          </w:tcPr>
          <w:p w14:paraId="18F8DC2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Us</w:t>
            </w:r>
          </w:p>
        </w:tc>
        <w:tc>
          <w:tcPr>
            <w:tcW w:w="0" w:type="auto"/>
            <w:vAlign w:val="center"/>
            <w:hideMark/>
          </w:tcPr>
          <w:p w14:paraId="1E21C87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111434F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4F413A0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145CFFC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ECC72B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1458D98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F9CDE3D"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6</w:t>
            </w:r>
          </w:p>
        </w:tc>
      </w:tr>
      <w:tr w:rsidR="00140AA4" w:rsidRPr="00D77A30" w14:paraId="058A1781" w14:textId="77777777" w:rsidTr="00A444F4">
        <w:trPr>
          <w:tblCellSpacing w:w="15" w:type="dxa"/>
        </w:trPr>
        <w:tc>
          <w:tcPr>
            <w:tcW w:w="0" w:type="auto"/>
            <w:vAlign w:val="center"/>
            <w:hideMark/>
          </w:tcPr>
          <w:p w14:paraId="099D87E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w:t>
            </w:r>
          </w:p>
        </w:tc>
        <w:tc>
          <w:tcPr>
            <w:tcW w:w="0" w:type="auto"/>
            <w:vAlign w:val="center"/>
            <w:hideMark/>
          </w:tcPr>
          <w:p w14:paraId="7B7248B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6A5D1C2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110DE58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D2A377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79EB38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E5975E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90D7D3B"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r>
      <w:tr w:rsidR="00140AA4" w:rsidRPr="00D77A30" w14:paraId="1EE42B6B" w14:textId="77777777" w:rsidTr="00A444F4">
        <w:trPr>
          <w:tblCellSpacing w:w="15" w:type="dxa"/>
        </w:trPr>
        <w:tc>
          <w:tcPr>
            <w:tcW w:w="0" w:type="auto"/>
            <w:vAlign w:val="center"/>
            <w:hideMark/>
          </w:tcPr>
          <w:p w14:paraId="1DB465E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Your</w:t>
            </w:r>
          </w:p>
        </w:tc>
        <w:tc>
          <w:tcPr>
            <w:tcW w:w="0" w:type="auto"/>
            <w:vAlign w:val="center"/>
            <w:hideMark/>
          </w:tcPr>
          <w:p w14:paraId="2CB58DE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4C10D77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D26CB3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44E044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006B35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C1BF0F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6F923EF"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27513D4F" w14:textId="77777777" w:rsidTr="00A444F4">
        <w:trPr>
          <w:tblCellSpacing w:w="15" w:type="dxa"/>
        </w:trPr>
        <w:tc>
          <w:tcPr>
            <w:tcW w:w="0" w:type="auto"/>
            <w:vAlign w:val="center"/>
            <w:hideMark/>
          </w:tcPr>
          <w:p w14:paraId="3262661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proofErr w:type="spellStart"/>
            <w:r w:rsidRPr="00D77A30">
              <w:rPr>
                <w:rFonts w:ascii="Times New Roman" w:eastAsia="Times New Roman" w:hAnsi="Times New Roman" w:cs="Times New Roman"/>
                <w:kern w:val="0"/>
                <w14:ligatures w14:val="none"/>
              </w:rPr>
              <w:t>He/She</w:t>
            </w:r>
            <w:proofErr w:type="spellEnd"/>
          </w:p>
        </w:tc>
        <w:tc>
          <w:tcPr>
            <w:tcW w:w="0" w:type="auto"/>
            <w:vAlign w:val="center"/>
            <w:hideMark/>
          </w:tcPr>
          <w:p w14:paraId="03F2448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003B211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772595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8D9FF1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E1D506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5A2814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6460596"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2C89A260" w14:textId="77777777" w:rsidTr="00A444F4">
        <w:trPr>
          <w:tblCellSpacing w:w="15" w:type="dxa"/>
        </w:trPr>
        <w:tc>
          <w:tcPr>
            <w:tcW w:w="0" w:type="auto"/>
            <w:vAlign w:val="center"/>
            <w:hideMark/>
          </w:tcPr>
          <w:p w14:paraId="72A9D62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It</w:t>
            </w:r>
          </w:p>
        </w:tc>
        <w:tc>
          <w:tcPr>
            <w:tcW w:w="0" w:type="auto"/>
            <w:vAlign w:val="center"/>
            <w:hideMark/>
          </w:tcPr>
          <w:p w14:paraId="7889FA9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60609F3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5C9121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3DC8DC8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DC0A91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4322C75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28465077"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7</w:t>
            </w:r>
          </w:p>
        </w:tc>
      </w:tr>
      <w:tr w:rsidR="00140AA4" w:rsidRPr="00D77A30" w14:paraId="5EA8A94A" w14:textId="77777777" w:rsidTr="00A444F4">
        <w:trPr>
          <w:tblCellSpacing w:w="15" w:type="dxa"/>
        </w:trPr>
        <w:tc>
          <w:tcPr>
            <w:tcW w:w="0" w:type="auto"/>
            <w:vAlign w:val="center"/>
            <w:hideMark/>
          </w:tcPr>
          <w:p w14:paraId="3726F8B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They</w:t>
            </w:r>
          </w:p>
        </w:tc>
        <w:tc>
          <w:tcPr>
            <w:tcW w:w="0" w:type="auto"/>
            <w:vAlign w:val="center"/>
            <w:hideMark/>
          </w:tcPr>
          <w:p w14:paraId="6D216FE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36CE094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947542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073D75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71A3FB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50C028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8CA298B"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4C129FDF" w14:textId="77777777" w:rsidTr="00A444F4">
        <w:trPr>
          <w:tblCellSpacing w:w="15" w:type="dxa"/>
        </w:trPr>
        <w:tc>
          <w:tcPr>
            <w:tcW w:w="0" w:type="auto"/>
            <w:vAlign w:val="center"/>
            <w:hideMark/>
          </w:tcPr>
          <w:p w14:paraId="0773560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Their</w:t>
            </w:r>
          </w:p>
        </w:tc>
        <w:tc>
          <w:tcPr>
            <w:tcW w:w="0" w:type="auto"/>
            <w:vAlign w:val="center"/>
            <w:hideMark/>
          </w:tcPr>
          <w:p w14:paraId="6EB7EB5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20CD17B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712B11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320F71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2B3A2C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079082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E39D7A5"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48CA1076" w14:textId="77777777" w:rsidTr="00A444F4">
        <w:trPr>
          <w:tblCellSpacing w:w="15" w:type="dxa"/>
        </w:trPr>
        <w:tc>
          <w:tcPr>
            <w:tcW w:w="0" w:type="auto"/>
            <w:vAlign w:val="center"/>
            <w:hideMark/>
          </w:tcPr>
          <w:p w14:paraId="018C058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Them</w:t>
            </w:r>
          </w:p>
        </w:tc>
        <w:tc>
          <w:tcPr>
            <w:tcW w:w="0" w:type="auto"/>
            <w:vAlign w:val="center"/>
            <w:hideMark/>
          </w:tcPr>
          <w:p w14:paraId="73BCEBE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31B1D66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E7C081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750055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3E8EAE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987E6F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DB4B67F"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bl>
    <w:p w14:paraId="0AE64F1E" w14:textId="77777777" w:rsidR="00140AA4" w:rsidRPr="00D77A30" w:rsidRDefault="00140AA4" w:rsidP="00140AA4">
      <w:pPr>
        <w:spacing w:after="0" w:line="240" w:lineRule="auto"/>
        <w:rPr>
          <w:rFonts w:ascii="Times New Roman" w:eastAsia="Times New Roman" w:hAnsi="Times New Roman" w:cs="Times New Roman"/>
          <w:kern w:val="0"/>
          <w14:ligatures w14:val="none"/>
        </w:rPr>
      </w:pPr>
    </w:p>
    <w:p w14:paraId="4075F9FB" w14:textId="77777777" w:rsidR="00140AA4" w:rsidRPr="00D77A30"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b/>
          <w:bCs/>
          <w:kern w:val="0"/>
          <w14:ligatures w14:val="none"/>
        </w:rPr>
        <w:t>Total Personal Pronoun Occurrences: 42</w:t>
      </w:r>
    </w:p>
    <w:p w14:paraId="0903E1FC" w14:textId="77777777" w:rsidR="00140AA4"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 xml:space="preserve">Thematic Exploration </w:t>
      </w:r>
    </w:p>
    <w:p w14:paraId="7501452E" w14:textId="77777777" w:rsidR="00140AA4" w:rsidRPr="00140AA4" w:rsidRDefault="00140AA4" w:rsidP="00140AA4">
      <w:pPr>
        <w:pStyle w:val="NormalWeb"/>
      </w:pPr>
      <w:r w:rsidRPr="00140AA4">
        <w:t xml:space="preserve">The Transport and Logistics group's oral presentation provides a clear case study of how personal pronouns can be strategically deployed to enhance audience engagement and foster interpersonal connections. A predominant feature of their discourse was the consistent and pervasive use of </w:t>
      </w:r>
      <w:r w:rsidRPr="00140AA4">
        <w:rPr>
          <w:rStyle w:val="Strong"/>
          <w:rFonts w:eastAsiaTheme="majorEastAsia"/>
          <w:b w:val="0"/>
          <w:bCs w:val="0"/>
        </w:rPr>
        <w:t>first-person plural pronouns</w:t>
      </w:r>
      <w:r w:rsidRPr="00140AA4">
        <w:rPr>
          <w:b/>
          <w:bCs/>
        </w:rPr>
        <w:t xml:space="preserve"> </w:t>
      </w:r>
      <w:r w:rsidRPr="00140AA4">
        <w:t xml:space="preserve">such as "we," "our," and "us." This linguistic choice strongly indicates a deliberate strategy to cultivate a sense of </w:t>
      </w:r>
      <w:r w:rsidRPr="00140AA4">
        <w:rPr>
          <w:rStyle w:val="Strong"/>
          <w:rFonts w:eastAsiaTheme="majorEastAsia"/>
          <w:b w:val="0"/>
          <w:bCs w:val="0"/>
        </w:rPr>
        <w:t>shared experience and collective identity</w:t>
      </w:r>
      <w:r w:rsidRPr="00140AA4">
        <w:t xml:space="preserve"> with the audience. The frequent appearance of "we" served primarily as an </w:t>
      </w:r>
      <w:r w:rsidRPr="00140AA4">
        <w:rPr>
          <w:rStyle w:val="Strong"/>
          <w:rFonts w:eastAsiaTheme="majorEastAsia"/>
          <w:b w:val="0"/>
          <w:bCs w:val="0"/>
        </w:rPr>
        <w:t>inclusionary device</w:t>
      </w:r>
      <w:r w:rsidRPr="00140AA4">
        <w:t>. For instance, TL1's opening remarks, "We are Group One" and "Our presentation delves into a topic that touches all our lives," immediately drew the audience into the presentation's scope. This framing presented the issues as universally relevant, shifting them from mere academic points to shared concerns that resonated with everyone present. This extended throughout the presentation with phrases like "we will walk you through five crucial points," "we all grapple with," and "Practical steps for all of us," all of which actively invited the audience to participate in the intellectual journey.</w:t>
      </w:r>
    </w:p>
    <w:p w14:paraId="4CC7DE3C" w14:textId="77777777" w:rsidR="00140AA4" w:rsidRPr="00140AA4" w:rsidRDefault="00140AA4" w:rsidP="00140AA4">
      <w:pPr>
        <w:pStyle w:val="NormalWeb"/>
      </w:pPr>
      <w:r w:rsidRPr="00140AA4">
        <w:t xml:space="preserve">Beyond general inclusion, the pronoun "us" was effectively used to highlight </w:t>
      </w:r>
      <w:r w:rsidRPr="00140AA4">
        <w:rPr>
          <w:rStyle w:val="Strong"/>
          <w:rFonts w:eastAsiaTheme="majorEastAsia"/>
        </w:rPr>
        <w:t>shared challenges</w:t>
      </w:r>
      <w:r w:rsidRPr="00140AA4">
        <w:t>. When TL2 stated, "This means that super-fast delivery isn't always possible for us," or TL1 posed, "How does the digital world push us?", these phrases underscored common difficulties, fostering empathy and relatability between the presenters and their listeners. This created a sense that both parties were navigating the complexities of the digital mirror together.</w:t>
      </w:r>
    </w:p>
    <w:p w14:paraId="2AA58CA0" w14:textId="77777777" w:rsidR="00140AA4" w:rsidRPr="00140AA4" w:rsidRDefault="00140AA4" w:rsidP="00140AA4">
      <w:pPr>
        <w:pStyle w:val="NormalWeb"/>
      </w:pPr>
      <w:r w:rsidRPr="00140AA4">
        <w:lastRenderedPageBreak/>
        <w:t>Furthermore, the group strategically broadened the scope of their discussion, as seen when TL2 explicitly stated, "</w:t>
      </w:r>
      <w:r w:rsidRPr="00140AA4">
        <w:rPr>
          <w:rStyle w:val="Strong"/>
          <w:rFonts w:eastAsiaTheme="majorEastAsia"/>
        </w:rPr>
        <w:t>We, as a society</w:t>
      </w:r>
      <w:r w:rsidRPr="00140AA4">
        <w:t xml:space="preserve">... </w:t>
      </w:r>
      <w:r w:rsidRPr="00140AA4">
        <w:rPr>
          <w:rStyle w:val="Strong"/>
          <w:rFonts w:eastAsiaTheme="majorEastAsia"/>
        </w:rPr>
        <w:t>We all need to understand</w:t>
      </w:r>
      <w:r w:rsidRPr="00140AA4">
        <w:t>." This extended the collective "we" beyond the immediate presentation context to a societal level, positioning both the presenters and the audience as integral parts of a common effort to comprehend and address the intricacies of logistics in the digital age. The phrase "</w:t>
      </w:r>
      <w:r w:rsidRPr="00140AA4">
        <w:rPr>
          <w:rStyle w:val="Strong"/>
          <w:rFonts w:eastAsiaTheme="majorEastAsia"/>
        </w:rPr>
        <w:t>we are taught</w:t>
      </w:r>
      <w:r w:rsidRPr="00140AA4">
        <w:t>" also played a significant role in building credibility. TL3 and TL5 leveraged this phrase ("As Transport and Logistics students, we are taught that feedback is vital," "In the transport industry, we are consistently taught that safety comes first") to subtly reinforce their authority. By aligning themselves with expert knowledge and their academic background, they bolstered their insights while maintaining an inclusive "we," indicating that their learning journey was part of a larger, shared pursuit of knowledge within their field.</w:t>
      </w:r>
    </w:p>
    <w:p w14:paraId="2C108E06" w14:textId="77777777" w:rsidR="00140AA4" w:rsidRPr="00140AA4" w:rsidRDefault="00140AA4" w:rsidP="00140AA4">
      <w:pPr>
        <w:pStyle w:val="NormalWeb"/>
      </w:pPr>
      <w:r w:rsidRPr="00140AA4">
        <w:t xml:space="preserve">Notably, the </w:t>
      </w:r>
      <w:r w:rsidRPr="00140AA4">
        <w:rPr>
          <w:rStyle w:val="Strong"/>
          <w:rFonts w:eastAsiaTheme="majorEastAsia"/>
        </w:rPr>
        <w:t>minimal use of "you"</w:t>
      </w:r>
      <w:r w:rsidRPr="00140AA4">
        <w:t xml:space="preserve"> (only two instances throughout the transcript) suggests a less direct, individualized address to the audience. Instead, the emphasis remained firmly on collective responsibility and shared understanding. This pervasive use of "we" cultivated an </w:t>
      </w:r>
      <w:r w:rsidRPr="00140AA4">
        <w:rPr>
          <w:rStyle w:val="Strong"/>
          <w:rFonts w:eastAsiaTheme="majorEastAsia"/>
        </w:rPr>
        <w:t>inclusive and collaborative tone</w:t>
      </w:r>
      <w:r w:rsidRPr="00140AA4">
        <w:t>, implying that the problems discussed and the solutions proposed were shared responsibilities between the presenters and the audience. This strategic choice effectively minimized the traditional "speaker-audience" divide, fostering a powerful sense of unity around the presentation's central theme.</w:t>
      </w:r>
    </w:p>
    <w:p w14:paraId="77D59D06" w14:textId="77777777" w:rsidR="00140AA4" w:rsidRDefault="00140AA4" w:rsidP="00140AA4">
      <w:pPr>
        <w:pStyle w:val="NormalWeb"/>
      </w:pPr>
    </w:p>
    <w:p w14:paraId="6E0A130D" w14:textId="77777777" w:rsidR="00140AA4" w:rsidRDefault="00140AA4" w:rsidP="00140AA4">
      <w:pPr>
        <w:pStyle w:val="NormalWeb"/>
      </w:pPr>
    </w:p>
    <w:p w14:paraId="122542FD" w14:textId="77777777" w:rsidR="00140AA4" w:rsidRPr="00D77A30" w:rsidRDefault="00140AA4" w:rsidP="00140AA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Group 2 Presentation Transcript: Business Administration Students</w:t>
      </w:r>
    </w:p>
    <w:p w14:paraId="3A87B056"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Personal Pronoun Frequency Count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1480"/>
        <w:gridCol w:w="514"/>
        <w:gridCol w:w="514"/>
        <w:gridCol w:w="514"/>
        <w:gridCol w:w="514"/>
        <w:gridCol w:w="514"/>
        <w:gridCol w:w="1322"/>
      </w:tblGrid>
      <w:tr w:rsidR="00140AA4" w:rsidRPr="00D77A30" w14:paraId="58E09EC0" w14:textId="77777777" w:rsidTr="00A444F4">
        <w:trPr>
          <w:tblCellSpacing w:w="15" w:type="dxa"/>
        </w:trPr>
        <w:tc>
          <w:tcPr>
            <w:tcW w:w="0" w:type="auto"/>
            <w:vAlign w:val="center"/>
            <w:hideMark/>
          </w:tcPr>
          <w:p w14:paraId="0284B793"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Pronoun</w:t>
            </w:r>
          </w:p>
        </w:tc>
        <w:tc>
          <w:tcPr>
            <w:tcW w:w="0" w:type="auto"/>
            <w:vAlign w:val="center"/>
            <w:hideMark/>
          </w:tcPr>
          <w:p w14:paraId="38833E32"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Type</w:t>
            </w:r>
          </w:p>
        </w:tc>
        <w:tc>
          <w:tcPr>
            <w:tcW w:w="0" w:type="auto"/>
            <w:vAlign w:val="center"/>
            <w:hideMark/>
          </w:tcPr>
          <w:p w14:paraId="1DF5DC0F"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BA1</w:t>
            </w:r>
          </w:p>
        </w:tc>
        <w:tc>
          <w:tcPr>
            <w:tcW w:w="0" w:type="auto"/>
            <w:vAlign w:val="center"/>
            <w:hideMark/>
          </w:tcPr>
          <w:p w14:paraId="7C07F866"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BA2</w:t>
            </w:r>
          </w:p>
        </w:tc>
        <w:tc>
          <w:tcPr>
            <w:tcW w:w="0" w:type="auto"/>
            <w:vAlign w:val="center"/>
            <w:hideMark/>
          </w:tcPr>
          <w:p w14:paraId="58D14FCC"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BA3</w:t>
            </w:r>
          </w:p>
        </w:tc>
        <w:tc>
          <w:tcPr>
            <w:tcW w:w="0" w:type="auto"/>
            <w:vAlign w:val="center"/>
            <w:hideMark/>
          </w:tcPr>
          <w:p w14:paraId="70EF30EE"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BA4</w:t>
            </w:r>
          </w:p>
        </w:tc>
        <w:tc>
          <w:tcPr>
            <w:tcW w:w="0" w:type="auto"/>
            <w:vAlign w:val="center"/>
            <w:hideMark/>
          </w:tcPr>
          <w:p w14:paraId="233502EA"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BA5</w:t>
            </w:r>
          </w:p>
        </w:tc>
        <w:tc>
          <w:tcPr>
            <w:tcW w:w="0" w:type="auto"/>
            <w:vAlign w:val="center"/>
            <w:hideMark/>
          </w:tcPr>
          <w:p w14:paraId="43BD8693" w14:textId="77777777" w:rsidR="00140AA4" w:rsidRPr="00D77A30" w:rsidRDefault="00140AA4" w:rsidP="00A444F4">
            <w:pPr>
              <w:spacing w:after="0" w:line="240" w:lineRule="auto"/>
              <w:jc w:val="center"/>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Total Count</w:t>
            </w:r>
          </w:p>
        </w:tc>
      </w:tr>
      <w:tr w:rsidR="00140AA4" w:rsidRPr="00D77A30" w14:paraId="4BB56C5C" w14:textId="77777777" w:rsidTr="00A444F4">
        <w:trPr>
          <w:tblCellSpacing w:w="15" w:type="dxa"/>
        </w:trPr>
        <w:tc>
          <w:tcPr>
            <w:tcW w:w="0" w:type="auto"/>
            <w:vAlign w:val="center"/>
            <w:hideMark/>
          </w:tcPr>
          <w:p w14:paraId="3C37146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w:t>
            </w:r>
          </w:p>
        </w:tc>
        <w:tc>
          <w:tcPr>
            <w:tcW w:w="0" w:type="auto"/>
            <w:vAlign w:val="center"/>
            <w:hideMark/>
          </w:tcPr>
          <w:p w14:paraId="281769E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254751C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C1957B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346330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720C54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F3CE29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4DCCFA91"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r>
      <w:tr w:rsidR="00140AA4" w:rsidRPr="00D77A30" w14:paraId="647A7A1A" w14:textId="77777777" w:rsidTr="00A444F4">
        <w:trPr>
          <w:tblCellSpacing w:w="15" w:type="dxa"/>
        </w:trPr>
        <w:tc>
          <w:tcPr>
            <w:tcW w:w="0" w:type="auto"/>
            <w:vAlign w:val="center"/>
            <w:hideMark/>
          </w:tcPr>
          <w:p w14:paraId="0A0ADD8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We</w:t>
            </w:r>
          </w:p>
        </w:tc>
        <w:tc>
          <w:tcPr>
            <w:tcW w:w="0" w:type="auto"/>
            <w:vAlign w:val="center"/>
            <w:hideMark/>
          </w:tcPr>
          <w:p w14:paraId="5DE1C1F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38DBCBF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c>
          <w:tcPr>
            <w:tcW w:w="0" w:type="auto"/>
            <w:vAlign w:val="center"/>
            <w:hideMark/>
          </w:tcPr>
          <w:p w14:paraId="632DBB3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5</w:t>
            </w:r>
          </w:p>
        </w:tc>
        <w:tc>
          <w:tcPr>
            <w:tcW w:w="0" w:type="auto"/>
            <w:vAlign w:val="center"/>
            <w:hideMark/>
          </w:tcPr>
          <w:p w14:paraId="6C752FE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66BBD72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4F3B024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6</w:t>
            </w:r>
          </w:p>
        </w:tc>
        <w:tc>
          <w:tcPr>
            <w:tcW w:w="0" w:type="auto"/>
            <w:vAlign w:val="center"/>
            <w:hideMark/>
          </w:tcPr>
          <w:p w14:paraId="25D4818B"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19</w:t>
            </w:r>
          </w:p>
        </w:tc>
      </w:tr>
      <w:tr w:rsidR="00140AA4" w:rsidRPr="00D77A30" w14:paraId="73088FB1" w14:textId="77777777" w:rsidTr="00A444F4">
        <w:trPr>
          <w:tblCellSpacing w:w="15" w:type="dxa"/>
        </w:trPr>
        <w:tc>
          <w:tcPr>
            <w:tcW w:w="0" w:type="auto"/>
            <w:vAlign w:val="center"/>
            <w:hideMark/>
          </w:tcPr>
          <w:p w14:paraId="49AB11A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Our</w:t>
            </w:r>
          </w:p>
        </w:tc>
        <w:tc>
          <w:tcPr>
            <w:tcW w:w="0" w:type="auto"/>
            <w:vAlign w:val="center"/>
            <w:hideMark/>
          </w:tcPr>
          <w:p w14:paraId="42D14E8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72BF15A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27AE2B0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FB5FF3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640CBFF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82E330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F68D035"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7</w:t>
            </w:r>
          </w:p>
        </w:tc>
      </w:tr>
      <w:tr w:rsidR="00140AA4" w:rsidRPr="00D77A30" w14:paraId="1B7857DB" w14:textId="77777777" w:rsidTr="00A444F4">
        <w:trPr>
          <w:tblCellSpacing w:w="15" w:type="dxa"/>
        </w:trPr>
        <w:tc>
          <w:tcPr>
            <w:tcW w:w="0" w:type="auto"/>
            <w:vAlign w:val="center"/>
            <w:hideMark/>
          </w:tcPr>
          <w:p w14:paraId="2A7D5EA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Us</w:t>
            </w:r>
          </w:p>
        </w:tc>
        <w:tc>
          <w:tcPr>
            <w:tcW w:w="0" w:type="auto"/>
            <w:vAlign w:val="center"/>
            <w:hideMark/>
          </w:tcPr>
          <w:p w14:paraId="26A609E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4AD6FB2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346EA46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13A68A1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70D744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5A33417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B62E1AB"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8</w:t>
            </w:r>
          </w:p>
        </w:tc>
      </w:tr>
      <w:tr w:rsidR="00140AA4" w:rsidRPr="00D77A30" w14:paraId="78542B66" w14:textId="77777777" w:rsidTr="00A444F4">
        <w:trPr>
          <w:tblCellSpacing w:w="15" w:type="dxa"/>
        </w:trPr>
        <w:tc>
          <w:tcPr>
            <w:tcW w:w="0" w:type="auto"/>
            <w:vAlign w:val="center"/>
            <w:hideMark/>
          </w:tcPr>
          <w:p w14:paraId="72CF346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w:t>
            </w:r>
          </w:p>
        </w:tc>
        <w:tc>
          <w:tcPr>
            <w:tcW w:w="0" w:type="auto"/>
            <w:vAlign w:val="center"/>
            <w:hideMark/>
          </w:tcPr>
          <w:p w14:paraId="121AA7C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23A2DB5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9C5DAA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662BD3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500F04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00F51E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6C4D60A"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r>
      <w:tr w:rsidR="00140AA4" w:rsidRPr="00D77A30" w14:paraId="7F2615D3" w14:textId="77777777" w:rsidTr="00A444F4">
        <w:trPr>
          <w:tblCellSpacing w:w="15" w:type="dxa"/>
        </w:trPr>
        <w:tc>
          <w:tcPr>
            <w:tcW w:w="0" w:type="auto"/>
            <w:vAlign w:val="center"/>
            <w:hideMark/>
          </w:tcPr>
          <w:p w14:paraId="5011EC4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Your</w:t>
            </w:r>
          </w:p>
        </w:tc>
        <w:tc>
          <w:tcPr>
            <w:tcW w:w="0" w:type="auto"/>
            <w:vAlign w:val="center"/>
            <w:hideMark/>
          </w:tcPr>
          <w:p w14:paraId="5AA336B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4277D8A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ABFA9B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5DF38B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F8F666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B59220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57AB2B1"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r>
      <w:tr w:rsidR="00140AA4" w:rsidRPr="00D77A30" w14:paraId="2400E580" w14:textId="77777777" w:rsidTr="00A444F4">
        <w:trPr>
          <w:tblCellSpacing w:w="15" w:type="dxa"/>
        </w:trPr>
        <w:tc>
          <w:tcPr>
            <w:tcW w:w="0" w:type="auto"/>
            <w:vAlign w:val="center"/>
            <w:hideMark/>
          </w:tcPr>
          <w:p w14:paraId="732044A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proofErr w:type="spellStart"/>
            <w:r w:rsidRPr="00D77A30">
              <w:rPr>
                <w:rFonts w:ascii="Times New Roman" w:eastAsia="Times New Roman" w:hAnsi="Times New Roman" w:cs="Times New Roman"/>
                <w:kern w:val="0"/>
                <w14:ligatures w14:val="none"/>
              </w:rPr>
              <w:t>He/She</w:t>
            </w:r>
            <w:proofErr w:type="spellEnd"/>
          </w:p>
        </w:tc>
        <w:tc>
          <w:tcPr>
            <w:tcW w:w="0" w:type="auto"/>
            <w:vAlign w:val="center"/>
            <w:hideMark/>
          </w:tcPr>
          <w:p w14:paraId="37F67E0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064DB7C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E8FE99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2021F3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673C86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2DC38A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576A767"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547B1C0B" w14:textId="77777777" w:rsidTr="00A444F4">
        <w:trPr>
          <w:tblCellSpacing w:w="15" w:type="dxa"/>
        </w:trPr>
        <w:tc>
          <w:tcPr>
            <w:tcW w:w="0" w:type="auto"/>
            <w:vAlign w:val="center"/>
            <w:hideMark/>
          </w:tcPr>
          <w:p w14:paraId="5171132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It</w:t>
            </w:r>
          </w:p>
        </w:tc>
        <w:tc>
          <w:tcPr>
            <w:tcW w:w="0" w:type="auto"/>
            <w:vAlign w:val="center"/>
            <w:hideMark/>
          </w:tcPr>
          <w:p w14:paraId="79F7923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29B1D8F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6DC8AF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5CBF16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BF90E2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CA0D34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0D4F301"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75830E29" w14:textId="77777777" w:rsidTr="00A444F4">
        <w:trPr>
          <w:tblCellSpacing w:w="15" w:type="dxa"/>
        </w:trPr>
        <w:tc>
          <w:tcPr>
            <w:tcW w:w="0" w:type="auto"/>
            <w:vAlign w:val="center"/>
            <w:hideMark/>
          </w:tcPr>
          <w:p w14:paraId="11EFB20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They</w:t>
            </w:r>
          </w:p>
        </w:tc>
        <w:tc>
          <w:tcPr>
            <w:tcW w:w="0" w:type="auto"/>
            <w:vAlign w:val="center"/>
            <w:hideMark/>
          </w:tcPr>
          <w:p w14:paraId="338E97A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005DCAD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93AC79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F08860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50AF1B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FE8E42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484CB97"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4B6A6DB4" w14:textId="77777777" w:rsidTr="00A444F4">
        <w:trPr>
          <w:tblCellSpacing w:w="15" w:type="dxa"/>
        </w:trPr>
        <w:tc>
          <w:tcPr>
            <w:tcW w:w="0" w:type="auto"/>
            <w:vAlign w:val="center"/>
            <w:hideMark/>
          </w:tcPr>
          <w:p w14:paraId="3FC31E7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Their</w:t>
            </w:r>
          </w:p>
        </w:tc>
        <w:tc>
          <w:tcPr>
            <w:tcW w:w="0" w:type="auto"/>
            <w:vAlign w:val="center"/>
            <w:hideMark/>
          </w:tcPr>
          <w:p w14:paraId="3B74F13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1057462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F2AA78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2698E5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687086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55A655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7EE48C5"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7FCF2995" w14:textId="77777777" w:rsidTr="00A444F4">
        <w:trPr>
          <w:tblCellSpacing w:w="15" w:type="dxa"/>
        </w:trPr>
        <w:tc>
          <w:tcPr>
            <w:tcW w:w="0" w:type="auto"/>
            <w:vAlign w:val="center"/>
            <w:hideMark/>
          </w:tcPr>
          <w:p w14:paraId="4CFF7ED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Them</w:t>
            </w:r>
          </w:p>
        </w:tc>
        <w:tc>
          <w:tcPr>
            <w:tcW w:w="0" w:type="auto"/>
            <w:vAlign w:val="center"/>
            <w:hideMark/>
          </w:tcPr>
          <w:p w14:paraId="00B0C50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1883AB1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E47230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A1816E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932889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2AE2E7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F3A6F5C"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bl>
    <w:p w14:paraId="497B416C" w14:textId="1389DD99" w:rsidR="00140AA4" w:rsidRPr="00D77A30" w:rsidRDefault="00140AA4" w:rsidP="00140AA4">
      <w:pPr>
        <w:spacing w:after="0" w:line="240" w:lineRule="auto"/>
        <w:rPr>
          <w:rFonts w:ascii="Times New Roman" w:eastAsia="Times New Roman" w:hAnsi="Times New Roman" w:cs="Times New Roman"/>
          <w:kern w:val="0"/>
          <w14:ligatures w14:val="none"/>
        </w:rPr>
      </w:pPr>
    </w:p>
    <w:p w14:paraId="1889B5A9" w14:textId="77777777" w:rsidR="00140AA4" w:rsidRPr="00D77A30"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b/>
          <w:bCs/>
          <w:kern w:val="0"/>
          <w14:ligatures w14:val="none"/>
        </w:rPr>
        <w:t>Total Personal Pronoun Occurrences: 39</w:t>
      </w:r>
    </w:p>
    <w:p w14:paraId="760ADDAC"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lastRenderedPageBreak/>
        <w:t>Thematic Exploration and Discussion</w:t>
      </w:r>
    </w:p>
    <w:p w14:paraId="19E7020D"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Mirroring the strategic approach observed in the Transport and Logistics group, the Business Administration presenters similarly relied heavily on first-person plural pronouns to underscore a powerful strategy of shared understanding and collective introspection. This linguistic choice was fundamental in shaping their audience engagement. The use of "we" was adeptly employed to establish the presenters' identity as business practitioners and learners. BA1, for instance, immediately set the tone by stating, "As Business students, we constantly analyze..." and acknowledging "it's how many of us connect with customers." This framing positioned the discussion squarely within the purview of their academic discipline, lending an air of authority to their insights while simultaneously including the audience in the broader implications of social media, implying a shared realm of experience.</w:t>
      </w:r>
    </w:p>
    <w:p w14:paraId="4E467C39"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A key to their engagement strategy was the repeated invocation of a shared human experience through phrases like "we all" or "all of us." Declarations such as "touches all our lives," "we all need to understand," "all of us are actively constructing personal brands," and "we all undoubtedly feel" effectively bridged the potential gap between the presenters' specific academic focus and the audience's universal, everyday experience of social media. This created an immediate sense of relatability, making the content feel personally relevant to every listener.</w:t>
      </w:r>
    </w:p>
    <w:p w14:paraId="011865D6"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Furthermore, the Business Administration group expertly leveraged first-person plural pronouns to prompt introspection and self-reflection. BA2's rhetorical question, "So, it begs the question for all of us: are we building our authentic brand, or merely a façade for likes?" directly invited the audience to engage in personal contemplation, thereby making the content deeply personal and engaging. This call for ethical consideration from a shared perspective was reinforced by BA5's equally thought-provoking query: "We must consistently ask ourselves: are we genuinely helping people, or are we simply manipulating them for our own gain?"</w:t>
      </w:r>
    </w:p>
    <w:p w14:paraId="20076F07"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Consistent with the approach of establishing credibility, BA2 and BA5 strategically invoked their student identity through phrases like "In business, we are taught..." and "In marketing, we are taught the art of persuasion." This reinforced their expertise, presenting the advice and observations as being grounded in established academic principles, akin to the strategy utilized by the Transport and Logistics group.</w:t>
      </w:r>
    </w:p>
    <w:p w14:paraId="583B206E"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While the primary mode of address was inclusive, a subtle but significant shift occurred in the conclusion with the introduction of direct "you" in recommendations. Although "you" was used sparingly elsewhere, BA1's concluding remarks, "Here are a few practical things we strongly recommend for you," followed by imperative statements such as "Be real online" and "Think before you post," effectively transitioned the engagement. This moved from a shared understanding of the problem to direct, actionable advice, empowering the audience with practical steps. In essence, the Business Administration group successfully employed the "we" pronoun to cultivate a collective learning environment, fostering a sense of shared journey in deciphering the multifaceted complexities of social media from both a business and a personal standpoint. The inclusion of rhetorical questions, framed with "us" or "all of us," proved particularly effective in promoting deeper audience engagement and individual reflection.</w:t>
      </w:r>
    </w:p>
    <w:p w14:paraId="6F580CD6" w14:textId="77777777" w:rsidR="00140AA4" w:rsidRPr="00D77A30" w:rsidRDefault="00140AA4" w:rsidP="00140AA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lastRenderedPageBreak/>
        <w:t>Group 3 Presentation Transcript: Public Relations Students</w:t>
      </w:r>
    </w:p>
    <w:p w14:paraId="1FF1736B"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Personal Pronoun Frequency Count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1480"/>
        <w:gridCol w:w="500"/>
        <w:gridCol w:w="500"/>
        <w:gridCol w:w="500"/>
        <w:gridCol w:w="500"/>
        <w:gridCol w:w="500"/>
        <w:gridCol w:w="1322"/>
      </w:tblGrid>
      <w:tr w:rsidR="00140AA4" w:rsidRPr="00D77A30" w14:paraId="6ADC028B" w14:textId="77777777" w:rsidTr="00A444F4">
        <w:trPr>
          <w:tblCellSpacing w:w="15" w:type="dxa"/>
        </w:trPr>
        <w:tc>
          <w:tcPr>
            <w:tcW w:w="0" w:type="auto"/>
            <w:vAlign w:val="center"/>
            <w:hideMark/>
          </w:tcPr>
          <w:p w14:paraId="0CE58526"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Pronoun</w:t>
            </w:r>
          </w:p>
        </w:tc>
        <w:tc>
          <w:tcPr>
            <w:tcW w:w="0" w:type="auto"/>
            <w:vAlign w:val="center"/>
            <w:hideMark/>
          </w:tcPr>
          <w:p w14:paraId="5C31BBE6"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Type</w:t>
            </w:r>
          </w:p>
        </w:tc>
        <w:tc>
          <w:tcPr>
            <w:tcW w:w="0" w:type="auto"/>
            <w:vAlign w:val="center"/>
            <w:hideMark/>
          </w:tcPr>
          <w:p w14:paraId="7B025020"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PR1</w:t>
            </w:r>
          </w:p>
        </w:tc>
        <w:tc>
          <w:tcPr>
            <w:tcW w:w="0" w:type="auto"/>
            <w:vAlign w:val="center"/>
            <w:hideMark/>
          </w:tcPr>
          <w:p w14:paraId="22C8D935"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PR2</w:t>
            </w:r>
          </w:p>
        </w:tc>
        <w:tc>
          <w:tcPr>
            <w:tcW w:w="0" w:type="auto"/>
            <w:vAlign w:val="center"/>
            <w:hideMark/>
          </w:tcPr>
          <w:p w14:paraId="0E418A38"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PR3</w:t>
            </w:r>
          </w:p>
        </w:tc>
        <w:tc>
          <w:tcPr>
            <w:tcW w:w="0" w:type="auto"/>
            <w:vAlign w:val="center"/>
            <w:hideMark/>
          </w:tcPr>
          <w:p w14:paraId="03603028"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PR4</w:t>
            </w:r>
          </w:p>
        </w:tc>
        <w:tc>
          <w:tcPr>
            <w:tcW w:w="0" w:type="auto"/>
            <w:vAlign w:val="center"/>
            <w:hideMark/>
          </w:tcPr>
          <w:p w14:paraId="1C242FA5"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PR5</w:t>
            </w:r>
          </w:p>
        </w:tc>
        <w:tc>
          <w:tcPr>
            <w:tcW w:w="0" w:type="auto"/>
            <w:vAlign w:val="center"/>
            <w:hideMark/>
          </w:tcPr>
          <w:p w14:paraId="3344A0DD" w14:textId="77777777" w:rsidR="00140AA4" w:rsidRPr="00D77A30" w:rsidRDefault="00140AA4" w:rsidP="00A444F4">
            <w:pPr>
              <w:spacing w:after="0" w:line="240" w:lineRule="auto"/>
              <w:jc w:val="center"/>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Total Count</w:t>
            </w:r>
          </w:p>
        </w:tc>
      </w:tr>
      <w:tr w:rsidR="00140AA4" w:rsidRPr="00D77A30" w14:paraId="0A226D3B" w14:textId="77777777" w:rsidTr="00A444F4">
        <w:trPr>
          <w:tblCellSpacing w:w="15" w:type="dxa"/>
        </w:trPr>
        <w:tc>
          <w:tcPr>
            <w:tcW w:w="0" w:type="auto"/>
            <w:vAlign w:val="center"/>
            <w:hideMark/>
          </w:tcPr>
          <w:p w14:paraId="155A7A8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w:t>
            </w:r>
          </w:p>
        </w:tc>
        <w:tc>
          <w:tcPr>
            <w:tcW w:w="0" w:type="auto"/>
            <w:vAlign w:val="center"/>
            <w:hideMark/>
          </w:tcPr>
          <w:p w14:paraId="4B1BFDA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0BDE399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7536A5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62325F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D74E5A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89A03F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797EB16"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r>
      <w:tr w:rsidR="00140AA4" w:rsidRPr="00D77A30" w14:paraId="424A1A6D" w14:textId="77777777" w:rsidTr="00A444F4">
        <w:trPr>
          <w:tblCellSpacing w:w="15" w:type="dxa"/>
        </w:trPr>
        <w:tc>
          <w:tcPr>
            <w:tcW w:w="0" w:type="auto"/>
            <w:vAlign w:val="center"/>
            <w:hideMark/>
          </w:tcPr>
          <w:p w14:paraId="65C539C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We</w:t>
            </w:r>
          </w:p>
        </w:tc>
        <w:tc>
          <w:tcPr>
            <w:tcW w:w="0" w:type="auto"/>
            <w:vAlign w:val="center"/>
            <w:hideMark/>
          </w:tcPr>
          <w:p w14:paraId="5A46CD8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69488BE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1F2B725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60CF06A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c>
          <w:tcPr>
            <w:tcW w:w="0" w:type="auto"/>
            <w:vAlign w:val="center"/>
            <w:hideMark/>
          </w:tcPr>
          <w:p w14:paraId="013FA06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00F9071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5</w:t>
            </w:r>
          </w:p>
        </w:tc>
        <w:tc>
          <w:tcPr>
            <w:tcW w:w="0" w:type="auto"/>
            <w:vAlign w:val="center"/>
            <w:hideMark/>
          </w:tcPr>
          <w:p w14:paraId="6C924410"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16</w:t>
            </w:r>
          </w:p>
        </w:tc>
      </w:tr>
      <w:tr w:rsidR="00140AA4" w:rsidRPr="00D77A30" w14:paraId="39F5265B" w14:textId="77777777" w:rsidTr="00A444F4">
        <w:trPr>
          <w:tblCellSpacing w:w="15" w:type="dxa"/>
        </w:trPr>
        <w:tc>
          <w:tcPr>
            <w:tcW w:w="0" w:type="auto"/>
            <w:vAlign w:val="center"/>
            <w:hideMark/>
          </w:tcPr>
          <w:p w14:paraId="2FE4957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Our</w:t>
            </w:r>
          </w:p>
        </w:tc>
        <w:tc>
          <w:tcPr>
            <w:tcW w:w="0" w:type="auto"/>
            <w:vAlign w:val="center"/>
            <w:hideMark/>
          </w:tcPr>
          <w:p w14:paraId="6F462C0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7214CF4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2361C26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86C700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313226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01C6D9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DA40F8C"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r>
      <w:tr w:rsidR="00140AA4" w:rsidRPr="00D77A30" w14:paraId="7E532F84" w14:textId="77777777" w:rsidTr="00A444F4">
        <w:trPr>
          <w:tblCellSpacing w:w="15" w:type="dxa"/>
        </w:trPr>
        <w:tc>
          <w:tcPr>
            <w:tcW w:w="0" w:type="auto"/>
            <w:vAlign w:val="center"/>
            <w:hideMark/>
          </w:tcPr>
          <w:p w14:paraId="0CCD494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Us</w:t>
            </w:r>
          </w:p>
        </w:tc>
        <w:tc>
          <w:tcPr>
            <w:tcW w:w="0" w:type="auto"/>
            <w:vAlign w:val="center"/>
            <w:hideMark/>
          </w:tcPr>
          <w:p w14:paraId="3A7FEE1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58DD0FD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3B67DA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AFE7C5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0FF573F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66FB54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168B6FF8"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5</w:t>
            </w:r>
          </w:p>
        </w:tc>
      </w:tr>
      <w:tr w:rsidR="00140AA4" w:rsidRPr="00D77A30" w14:paraId="68C1EA7D" w14:textId="77777777" w:rsidTr="00A444F4">
        <w:trPr>
          <w:tblCellSpacing w:w="15" w:type="dxa"/>
        </w:trPr>
        <w:tc>
          <w:tcPr>
            <w:tcW w:w="0" w:type="auto"/>
            <w:vAlign w:val="center"/>
            <w:hideMark/>
          </w:tcPr>
          <w:p w14:paraId="5852E48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w:t>
            </w:r>
          </w:p>
        </w:tc>
        <w:tc>
          <w:tcPr>
            <w:tcW w:w="0" w:type="auto"/>
            <w:vAlign w:val="center"/>
            <w:hideMark/>
          </w:tcPr>
          <w:p w14:paraId="7F15AF0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7DE8DB9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93DECE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7B53B4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EB097F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7C3CCC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D92EE04"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64E89E42" w14:textId="77777777" w:rsidTr="00A444F4">
        <w:trPr>
          <w:tblCellSpacing w:w="15" w:type="dxa"/>
        </w:trPr>
        <w:tc>
          <w:tcPr>
            <w:tcW w:w="0" w:type="auto"/>
            <w:vAlign w:val="center"/>
            <w:hideMark/>
          </w:tcPr>
          <w:p w14:paraId="724DB1D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Your</w:t>
            </w:r>
          </w:p>
        </w:tc>
        <w:tc>
          <w:tcPr>
            <w:tcW w:w="0" w:type="auto"/>
            <w:vAlign w:val="center"/>
            <w:hideMark/>
          </w:tcPr>
          <w:p w14:paraId="29ACB60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61CF656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C7147B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0 0</w:t>
            </w:r>
          </w:p>
        </w:tc>
        <w:tc>
          <w:tcPr>
            <w:tcW w:w="0" w:type="auto"/>
            <w:vAlign w:val="center"/>
            <w:hideMark/>
          </w:tcPr>
          <w:p w14:paraId="50D89BD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0DF135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8F4FB9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963CE27"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5B92EC68" w14:textId="77777777" w:rsidTr="00A444F4">
        <w:trPr>
          <w:tblCellSpacing w:w="15" w:type="dxa"/>
        </w:trPr>
        <w:tc>
          <w:tcPr>
            <w:tcW w:w="0" w:type="auto"/>
            <w:vAlign w:val="center"/>
            <w:hideMark/>
          </w:tcPr>
          <w:p w14:paraId="4B0C3FF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proofErr w:type="spellStart"/>
            <w:r w:rsidRPr="00D77A30">
              <w:rPr>
                <w:rFonts w:ascii="Times New Roman" w:eastAsia="Times New Roman" w:hAnsi="Times New Roman" w:cs="Times New Roman"/>
                <w:kern w:val="0"/>
                <w14:ligatures w14:val="none"/>
              </w:rPr>
              <w:t>He/She</w:t>
            </w:r>
            <w:proofErr w:type="spellEnd"/>
          </w:p>
        </w:tc>
        <w:tc>
          <w:tcPr>
            <w:tcW w:w="0" w:type="auto"/>
            <w:vAlign w:val="center"/>
            <w:hideMark/>
          </w:tcPr>
          <w:p w14:paraId="2FFFA9F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7E287FD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2BE02E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E82F61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0 0</w:t>
            </w:r>
          </w:p>
        </w:tc>
        <w:tc>
          <w:tcPr>
            <w:tcW w:w="0" w:type="auto"/>
            <w:vAlign w:val="center"/>
            <w:hideMark/>
          </w:tcPr>
          <w:p w14:paraId="0126DE6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B2E71A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FCBE166"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05BF02E4" w14:textId="77777777" w:rsidTr="00A444F4">
        <w:trPr>
          <w:tblCellSpacing w:w="15" w:type="dxa"/>
        </w:trPr>
        <w:tc>
          <w:tcPr>
            <w:tcW w:w="0" w:type="auto"/>
            <w:vAlign w:val="center"/>
            <w:hideMark/>
          </w:tcPr>
          <w:p w14:paraId="2E84304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It</w:t>
            </w:r>
          </w:p>
        </w:tc>
        <w:tc>
          <w:tcPr>
            <w:tcW w:w="0" w:type="auto"/>
            <w:vAlign w:val="center"/>
            <w:hideMark/>
          </w:tcPr>
          <w:p w14:paraId="203C7C6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4B7DD4E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55EBA4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E1D0D6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B974F6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6CE045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889B3AE"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1BFFBA57" w14:textId="77777777" w:rsidTr="00A444F4">
        <w:trPr>
          <w:tblCellSpacing w:w="15" w:type="dxa"/>
        </w:trPr>
        <w:tc>
          <w:tcPr>
            <w:tcW w:w="0" w:type="auto"/>
            <w:vAlign w:val="center"/>
            <w:hideMark/>
          </w:tcPr>
          <w:p w14:paraId="0BDE8EC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They</w:t>
            </w:r>
          </w:p>
        </w:tc>
        <w:tc>
          <w:tcPr>
            <w:tcW w:w="0" w:type="auto"/>
            <w:vAlign w:val="center"/>
            <w:hideMark/>
          </w:tcPr>
          <w:p w14:paraId="7418AA6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714F300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5F15B8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750F05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720BFC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E68FE8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CF9F382"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5B9A870B" w14:textId="77777777" w:rsidTr="00A444F4">
        <w:trPr>
          <w:tblCellSpacing w:w="15" w:type="dxa"/>
        </w:trPr>
        <w:tc>
          <w:tcPr>
            <w:tcW w:w="0" w:type="auto"/>
            <w:vAlign w:val="center"/>
            <w:hideMark/>
          </w:tcPr>
          <w:p w14:paraId="3C9C55A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Their</w:t>
            </w:r>
          </w:p>
        </w:tc>
        <w:tc>
          <w:tcPr>
            <w:tcW w:w="0" w:type="auto"/>
            <w:vAlign w:val="center"/>
            <w:hideMark/>
          </w:tcPr>
          <w:p w14:paraId="548F9EE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24D08BB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F8DC0D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C2C5A5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C91974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865BEC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2540041"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75C78C67" w14:textId="77777777" w:rsidTr="00A444F4">
        <w:trPr>
          <w:tblCellSpacing w:w="15" w:type="dxa"/>
        </w:trPr>
        <w:tc>
          <w:tcPr>
            <w:tcW w:w="0" w:type="auto"/>
            <w:vAlign w:val="center"/>
            <w:hideMark/>
          </w:tcPr>
          <w:p w14:paraId="523B8B2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Them</w:t>
            </w:r>
          </w:p>
        </w:tc>
        <w:tc>
          <w:tcPr>
            <w:tcW w:w="0" w:type="auto"/>
            <w:vAlign w:val="center"/>
            <w:hideMark/>
          </w:tcPr>
          <w:p w14:paraId="515584E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58D8347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961629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8101EE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D7DB0D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9F557A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42FB88B"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bl>
    <w:p w14:paraId="03623871" w14:textId="2B07046F" w:rsidR="00140AA4" w:rsidRPr="00D77A30" w:rsidRDefault="00140AA4" w:rsidP="00140AA4">
      <w:pPr>
        <w:spacing w:after="0" w:line="240" w:lineRule="auto"/>
        <w:rPr>
          <w:rFonts w:ascii="Times New Roman" w:eastAsia="Times New Roman" w:hAnsi="Times New Roman" w:cs="Times New Roman"/>
          <w:kern w:val="0"/>
          <w14:ligatures w14:val="none"/>
        </w:rPr>
      </w:pPr>
    </w:p>
    <w:p w14:paraId="6A1C059D" w14:textId="77777777" w:rsidR="00140AA4" w:rsidRPr="00D77A30"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b/>
          <w:bCs/>
          <w:kern w:val="0"/>
          <w14:ligatures w14:val="none"/>
        </w:rPr>
        <w:t>Total Personal Pronoun Occurrences: 25</w:t>
      </w:r>
    </w:p>
    <w:p w14:paraId="50104B93"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Thematic Exploration and Discussion</w:t>
      </w:r>
    </w:p>
    <w:p w14:paraId="1C3023B1"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The Public Relations group, while similarly relying heavily on first-person plural pronouns, distinguished its approach through a pronounced emphasis on their professional identity and a compelling call for collective responsibility in navigating the complexities of the digital landscape. This distinct focus shaped their interpersonal strategies for audience engagement.</w:t>
      </w:r>
    </w:p>
    <w:p w14:paraId="7DD5F63E"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From the outset, the pronoun "we" was leveraged to establish the presenters' roles as PR Professionals/Experts. PR1 immediately set this tone, stating, "As students of PR, we deeply understand the power of communication..." and acknowledging, "It’s a space where we all play a part, whether we realize it or not." This strategic framing positioned the presenters as knowledgeable authorities within their field, imparting a professional gravitas to their discussion. Subsequent speakers consistently reinforced this expert stance with phrases like, "In Public Relations, image matters immensely" (PR2), "In traditional PR, we study how messages are meticulously crafted" (PR3), "As communicators, we must understand..." (PR4), and "In Public Relations, we are taught to know our audience intimately" (PR5). These assertions not only built credibility but also invited the audience into a discourse informed by specialized knowledge.</w:t>
      </w:r>
    </w:p>
    <w:p w14:paraId="1454AA87"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 xml:space="preserve">Crucially, while rooted in their professional identity, the "we" pronoun also extended to embrace shared societal challenges. PR2 aptly noted, "It’s a challenge we all face," referring to the ethical dilemma between strategic communication and emotional authenticity. PR3 underscored the widespread impact of social media on public opinion by stating, "every one of us." PR4 further emphasized the danger posed by the decline of critical evaluation for "all of us," and PR5 concluded by affirming, "It’s a collective responsibility for all of us." This broadened the scope </w:t>
      </w:r>
      <w:r w:rsidRPr="00140AA4">
        <w:rPr>
          <w:rFonts w:ascii="Times New Roman" w:eastAsia="Times New Roman" w:hAnsi="Times New Roman" w:cs="Times New Roman"/>
          <w:kern w:val="0"/>
          <w14:ligatures w14:val="none"/>
        </w:rPr>
        <w:lastRenderedPageBreak/>
        <w:t>from their academic field to a universal societal concern, making the content deeply relevant to every member of the audience.</w:t>
      </w:r>
    </w:p>
    <w:p w14:paraId="0F1EB637"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A particularly strong element of this group's engagement strategy was the repeated use of "we must," conveying a sense of collective duty. Phrases such as "we must grasp," "we must constantly ask," and "we must train ourselves—and encourage others—to be media literate" served as a compelling call to action for both the presenters and the audience. This positioned the group not merely as educators, but as advocates for responsible digital citizenship, fostering a shared imperative to critically engage with online information. The "we" pronoun was also consistently tied to their focus on professional ethics. This was evident in phrases like "without the same checks and balances of professional ethics that we are trained to uphold" and "Where is the precise line between strategic communication and outright manipulation?" Such direct references made their engagement highly relevant to their academic discipline, reinforcing the ethical foundations of their profession within the context of social media's impact.</w:t>
      </w:r>
    </w:p>
    <w:p w14:paraId="28412629"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Finally, the Public Relations group effectively utilized rhetorical questions for engagement, particularly in their conclusion. PR1's thought-provoking closing question, "How do we, each one of us, use social media to reflect our best selves without losing our real selves in the process?" directly invited the audience to ponder the ethical implications discussed. This served as a powerful concluding engagement strategy, encouraging continued reflection beyond the presentation itself.</w:t>
      </w:r>
    </w:p>
    <w:p w14:paraId="4611FF2A" w14:textId="77777777" w:rsidR="00140AA4" w:rsidRPr="00EA2371"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p>
    <w:p w14:paraId="6661C5FD" w14:textId="77777777" w:rsidR="00140AA4" w:rsidRPr="00D77A30" w:rsidRDefault="00140AA4" w:rsidP="00140AA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Group 4 Presentation Transcript: Information Technology Students</w:t>
      </w:r>
    </w:p>
    <w:p w14:paraId="4FF5659B"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Personal Pronoun Frequency Count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1480"/>
        <w:gridCol w:w="434"/>
        <w:gridCol w:w="434"/>
        <w:gridCol w:w="434"/>
        <w:gridCol w:w="434"/>
        <w:gridCol w:w="434"/>
        <w:gridCol w:w="1322"/>
      </w:tblGrid>
      <w:tr w:rsidR="00140AA4" w:rsidRPr="00D77A30" w14:paraId="5BA96D64" w14:textId="77777777" w:rsidTr="00A444F4">
        <w:trPr>
          <w:tblCellSpacing w:w="15" w:type="dxa"/>
        </w:trPr>
        <w:tc>
          <w:tcPr>
            <w:tcW w:w="0" w:type="auto"/>
            <w:vAlign w:val="center"/>
            <w:hideMark/>
          </w:tcPr>
          <w:p w14:paraId="1447DE54"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Pronoun</w:t>
            </w:r>
          </w:p>
        </w:tc>
        <w:tc>
          <w:tcPr>
            <w:tcW w:w="0" w:type="auto"/>
            <w:vAlign w:val="center"/>
            <w:hideMark/>
          </w:tcPr>
          <w:p w14:paraId="2428E906"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Type</w:t>
            </w:r>
          </w:p>
        </w:tc>
        <w:tc>
          <w:tcPr>
            <w:tcW w:w="0" w:type="auto"/>
            <w:vAlign w:val="center"/>
            <w:hideMark/>
          </w:tcPr>
          <w:p w14:paraId="508060F9"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IT1</w:t>
            </w:r>
          </w:p>
        </w:tc>
        <w:tc>
          <w:tcPr>
            <w:tcW w:w="0" w:type="auto"/>
            <w:vAlign w:val="center"/>
            <w:hideMark/>
          </w:tcPr>
          <w:p w14:paraId="68150978"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IT2</w:t>
            </w:r>
          </w:p>
        </w:tc>
        <w:tc>
          <w:tcPr>
            <w:tcW w:w="0" w:type="auto"/>
            <w:vAlign w:val="center"/>
            <w:hideMark/>
          </w:tcPr>
          <w:p w14:paraId="0A1938B5"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IT3</w:t>
            </w:r>
          </w:p>
        </w:tc>
        <w:tc>
          <w:tcPr>
            <w:tcW w:w="0" w:type="auto"/>
            <w:vAlign w:val="center"/>
            <w:hideMark/>
          </w:tcPr>
          <w:p w14:paraId="04A131C1"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IT4</w:t>
            </w:r>
          </w:p>
        </w:tc>
        <w:tc>
          <w:tcPr>
            <w:tcW w:w="0" w:type="auto"/>
            <w:vAlign w:val="center"/>
            <w:hideMark/>
          </w:tcPr>
          <w:p w14:paraId="36FE5CDB"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IT5</w:t>
            </w:r>
          </w:p>
        </w:tc>
        <w:tc>
          <w:tcPr>
            <w:tcW w:w="0" w:type="auto"/>
            <w:vAlign w:val="center"/>
            <w:hideMark/>
          </w:tcPr>
          <w:p w14:paraId="573D09AF" w14:textId="77777777" w:rsidR="00140AA4" w:rsidRPr="00D77A30" w:rsidRDefault="00140AA4" w:rsidP="00A444F4">
            <w:pPr>
              <w:spacing w:after="0" w:line="240" w:lineRule="auto"/>
              <w:jc w:val="center"/>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Total Count</w:t>
            </w:r>
          </w:p>
        </w:tc>
      </w:tr>
      <w:tr w:rsidR="00140AA4" w:rsidRPr="00D77A30" w14:paraId="6AC3158C" w14:textId="77777777" w:rsidTr="00A444F4">
        <w:trPr>
          <w:tblCellSpacing w:w="15" w:type="dxa"/>
        </w:trPr>
        <w:tc>
          <w:tcPr>
            <w:tcW w:w="0" w:type="auto"/>
            <w:vAlign w:val="center"/>
            <w:hideMark/>
          </w:tcPr>
          <w:p w14:paraId="0DD687F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w:t>
            </w:r>
          </w:p>
        </w:tc>
        <w:tc>
          <w:tcPr>
            <w:tcW w:w="0" w:type="auto"/>
            <w:vAlign w:val="center"/>
            <w:hideMark/>
          </w:tcPr>
          <w:p w14:paraId="7A2B0B7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60647E7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A53B28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47F5D4F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CF6F5D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6942469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E9A267B"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r>
      <w:tr w:rsidR="00140AA4" w:rsidRPr="00D77A30" w14:paraId="13F3E570" w14:textId="77777777" w:rsidTr="00A444F4">
        <w:trPr>
          <w:tblCellSpacing w:w="15" w:type="dxa"/>
        </w:trPr>
        <w:tc>
          <w:tcPr>
            <w:tcW w:w="0" w:type="auto"/>
            <w:vAlign w:val="center"/>
            <w:hideMark/>
          </w:tcPr>
          <w:p w14:paraId="591E860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We</w:t>
            </w:r>
          </w:p>
        </w:tc>
        <w:tc>
          <w:tcPr>
            <w:tcW w:w="0" w:type="auto"/>
            <w:vAlign w:val="center"/>
            <w:hideMark/>
          </w:tcPr>
          <w:p w14:paraId="0308C98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0327499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c>
          <w:tcPr>
            <w:tcW w:w="0" w:type="auto"/>
            <w:vAlign w:val="center"/>
            <w:hideMark/>
          </w:tcPr>
          <w:p w14:paraId="153EAC4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2064E84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A2FA3A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0A55C2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12CE6B37"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11</w:t>
            </w:r>
          </w:p>
        </w:tc>
      </w:tr>
      <w:tr w:rsidR="00140AA4" w:rsidRPr="00D77A30" w14:paraId="3065A4D0" w14:textId="77777777" w:rsidTr="00A444F4">
        <w:trPr>
          <w:tblCellSpacing w:w="15" w:type="dxa"/>
        </w:trPr>
        <w:tc>
          <w:tcPr>
            <w:tcW w:w="0" w:type="auto"/>
            <w:vAlign w:val="center"/>
            <w:hideMark/>
          </w:tcPr>
          <w:p w14:paraId="0EB5C5F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Our</w:t>
            </w:r>
          </w:p>
        </w:tc>
        <w:tc>
          <w:tcPr>
            <w:tcW w:w="0" w:type="auto"/>
            <w:vAlign w:val="center"/>
            <w:hideMark/>
          </w:tcPr>
          <w:p w14:paraId="6E786B1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1CB26EA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044C208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7890B1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F7C9EE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4AE9848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7B8ECD44"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7</w:t>
            </w:r>
          </w:p>
        </w:tc>
      </w:tr>
      <w:tr w:rsidR="00140AA4" w:rsidRPr="00D77A30" w14:paraId="2196A06E" w14:textId="77777777" w:rsidTr="00A444F4">
        <w:trPr>
          <w:tblCellSpacing w:w="15" w:type="dxa"/>
        </w:trPr>
        <w:tc>
          <w:tcPr>
            <w:tcW w:w="0" w:type="auto"/>
            <w:vAlign w:val="center"/>
            <w:hideMark/>
          </w:tcPr>
          <w:p w14:paraId="467083D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Us</w:t>
            </w:r>
          </w:p>
        </w:tc>
        <w:tc>
          <w:tcPr>
            <w:tcW w:w="0" w:type="auto"/>
            <w:vAlign w:val="center"/>
            <w:hideMark/>
          </w:tcPr>
          <w:p w14:paraId="657DFB5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2D1FE93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3C43783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0367B28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3C38584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58A086D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21610201"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11</w:t>
            </w:r>
          </w:p>
        </w:tc>
      </w:tr>
      <w:tr w:rsidR="00140AA4" w:rsidRPr="00D77A30" w14:paraId="1F275C87" w14:textId="77777777" w:rsidTr="00A444F4">
        <w:trPr>
          <w:tblCellSpacing w:w="15" w:type="dxa"/>
        </w:trPr>
        <w:tc>
          <w:tcPr>
            <w:tcW w:w="0" w:type="auto"/>
            <w:vAlign w:val="center"/>
            <w:hideMark/>
          </w:tcPr>
          <w:p w14:paraId="2A955B0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w:t>
            </w:r>
          </w:p>
        </w:tc>
        <w:tc>
          <w:tcPr>
            <w:tcW w:w="0" w:type="auto"/>
            <w:vAlign w:val="center"/>
            <w:hideMark/>
          </w:tcPr>
          <w:p w14:paraId="3ED2D95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39E7B8D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9ABD83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0929F5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33F7423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2FB3222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0630F4AE"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8</w:t>
            </w:r>
          </w:p>
        </w:tc>
      </w:tr>
      <w:tr w:rsidR="00140AA4" w:rsidRPr="00D77A30" w14:paraId="2941A580" w14:textId="77777777" w:rsidTr="00A444F4">
        <w:trPr>
          <w:tblCellSpacing w:w="15" w:type="dxa"/>
        </w:trPr>
        <w:tc>
          <w:tcPr>
            <w:tcW w:w="0" w:type="auto"/>
            <w:vAlign w:val="center"/>
            <w:hideMark/>
          </w:tcPr>
          <w:p w14:paraId="44156C0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Your</w:t>
            </w:r>
          </w:p>
        </w:tc>
        <w:tc>
          <w:tcPr>
            <w:tcW w:w="0" w:type="auto"/>
            <w:vAlign w:val="center"/>
            <w:hideMark/>
          </w:tcPr>
          <w:p w14:paraId="04DF13B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7D049AB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4B037A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75394C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C7F55F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0C12672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90C55BA"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r>
      <w:tr w:rsidR="00140AA4" w:rsidRPr="00D77A30" w14:paraId="5ACB1FAC" w14:textId="77777777" w:rsidTr="00A444F4">
        <w:trPr>
          <w:tblCellSpacing w:w="15" w:type="dxa"/>
        </w:trPr>
        <w:tc>
          <w:tcPr>
            <w:tcW w:w="0" w:type="auto"/>
            <w:vAlign w:val="center"/>
            <w:hideMark/>
          </w:tcPr>
          <w:p w14:paraId="5676ECA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proofErr w:type="spellStart"/>
            <w:r w:rsidRPr="00D77A30">
              <w:rPr>
                <w:rFonts w:ascii="Times New Roman" w:eastAsia="Times New Roman" w:hAnsi="Times New Roman" w:cs="Times New Roman"/>
                <w:kern w:val="0"/>
                <w14:ligatures w14:val="none"/>
              </w:rPr>
              <w:t>He/She</w:t>
            </w:r>
            <w:proofErr w:type="spellEnd"/>
          </w:p>
        </w:tc>
        <w:tc>
          <w:tcPr>
            <w:tcW w:w="0" w:type="auto"/>
            <w:vAlign w:val="center"/>
            <w:hideMark/>
          </w:tcPr>
          <w:p w14:paraId="2B62862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7DC0A5A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2A0200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3F9B27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D3F633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3CEA18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917A2BE"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355F4ACE" w14:textId="77777777" w:rsidTr="00A444F4">
        <w:trPr>
          <w:tblCellSpacing w:w="15" w:type="dxa"/>
        </w:trPr>
        <w:tc>
          <w:tcPr>
            <w:tcW w:w="0" w:type="auto"/>
            <w:vAlign w:val="center"/>
            <w:hideMark/>
          </w:tcPr>
          <w:p w14:paraId="3D8B02B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It</w:t>
            </w:r>
          </w:p>
        </w:tc>
        <w:tc>
          <w:tcPr>
            <w:tcW w:w="0" w:type="auto"/>
            <w:vAlign w:val="center"/>
            <w:hideMark/>
          </w:tcPr>
          <w:p w14:paraId="18F422A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68E1A03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2CCC92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54ECA1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AAADEA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82C2C2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1A656DE"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04045D17" w14:textId="77777777" w:rsidTr="00A444F4">
        <w:trPr>
          <w:tblCellSpacing w:w="15" w:type="dxa"/>
        </w:trPr>
        <w:tc>
          <w:tcPr>
            <w:tcW w:w="0" w:type="auto"/>
            <w:vAlign w:val="center"/>
            <w:hideMark/>
          </w:tcPr>
          <w:p w14:paraId="23C5979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They</w:t>
            </w:r>
          </w:p>
        </w:tc>
        <w:tc>
          <w:tcPr>
            <w:tcW w:w="0" w:type="auto"/>
            <w:vAlign w:val="center"/>
            <w:hideMark/>
          </w:tcPr>
          <w:p w14:paraId="6E55D5D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6DF8C23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B3E90A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A40B2E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F1B5BF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7A3369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B7148D8"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2D2CCAAE" w14:textId="77777777" w:rsidTr="00A444F4">
        <w:trPr>
          <w:tblCellSpacing w:w="15" w:type="dxa"/>
        </w:trPr>
        <w:tc>
          <w:tcPr>
            <w:tcW w:w="0" w:type="auto"/>
            <w:vAlign w:val="center"/>
            <w:hideMark/>
          </w:tcPr>
          <w:p w14:paraId="3673EDE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Their</w:t>
            </w:r>
          </w:p>
        </w:tc>
        <w:tc>
          <w:tcPr>
            <w:tcW w:w="0" w:type="auto"/>
            <w:vAlign w:val="center"/>
            <w:hideMark/>
          </w:tcPr>
          <w:p w14:paraId="187BB49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5CCC5C6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7028B5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7A7E52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F0F595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AE2693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AEA64E1"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64E0D22C" w14:textId="77777777" w:rsidTr="00A444F4">
        <w:trPr>
          <w:tblCellSpacing w:w="15" w:type="dxa"/>
        </w:trPr>
        <w:tc>
          <w:tcPr>
            <w:tcW w:w="0" w:type="auto"/>
            <w:vAlign w:val="center"/>
            <w:hideMark/>
          </w:tcPr>
          <w:p w14:paraId="2A683ED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Them</w:t>
            </w:r>
          </w:p>
        </w:tc>
        <w:tc>
          <w:tcPr>
            <w:tcW w:w="0" w:type="auto"/>
            <w:vAlign w:val="center"/>
            <w:hideMark/>
          </w:tcPr>
          <w:p w14:paraId="7C40935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5460DEB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34C432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FB83B7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9CEA62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7C87F5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1CA9C73"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bl>
    <w:p w14:paraId="1FEBDF7E" w14:textId="77777777" w:rsidR="00140AA4" w:rsidRPr="00D77A30"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b/>
          <w:bCs/>
          <w:kern w:val="0"/>
          <w14:ligatures w14:val="none"/>
        </w:rPr>
        <w:t>Total Personal Pronoun Occurrences: 44</w:t>
      </w:r>
    </w:p>
    <w:p w14:paraId="36E9A1C4" w14:textId="77777777" w:rsidR="00140AA4" w:rsidRPr="00EA2371" w:rsidRDefault="00140AA4" w:rsidP="00140AA4">
      <w:pPr>
        <w:spacing w:before="100" w:beforeAutospacing="1" w:after="100" w:afterAutospacing="1" w:line="240" w:lineRule="auto"/>
        <w:outlineLvl w:val="2"/>
        <w:rPr>
          <w:rFonts w:ascii="Times New Roman" w:eastAsia="Times New Roman" w:hAnsi="Times New Roman" w:cs="Times New Roman"/>
          <w:kern w:val="0"/>
          <w14:ligatures w14:val="none"/>
        </w:rPr>
      </w:pPr>
      <w:r w:rsidRPr="00EA2371">
        <w:rPr>
          <w:rFonts w:ascii="Times New Roman" w:eastAsia="Times New Roman" w:hAnsi="Times New Roman" w:cs="Times New Roman"/>
          <w:b/>
          <w:bCs/>
          <w:kern w:val="0"/>
          <w:sz w:val="27"/>
          <w:szCs w:val="27"/>
          <w14:ligatures w14:val="none"/>
        </w:rPr>
        <w:t xml:space="preserve">Thematic Exploration </w:t>
      </w:r>
    </w:p>
    <w:p w14:paraId="3BEFB07F"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lastRenderedPageBreak/>
        <w:t>Technology group's presentation demonstrated a notably balanced and dynamic approach to personal pronoun usage, effectively combining the inclusive "we/us/our" with a distinct increase in the use of direct "you/your." This strategic blend served to foster both a shared understanding of the issues and a more direct, personalized engagement with the audience. Initially, the pronoun "we" functioned to establish the presenters' identity as experts and individuals deeply rooted in the digital realm. IT1 immediately set this tone, stating, "As IT students, we are very familiar with how digital tools work behind the scenes," while simultaneously acknowledging that social media "profoundly affects us as individuals and as a society here in Ghana." This dual positioning established their authority grounded in technical knowledge, yet also highlighted the universal human impact of technology. Subsequent speakers, such as IT4 ("As IT students, we know these features are coded with clear intent") and IT5 ("As IT students, we firmly believe..."), further reinforced their professional understanding and ethical stance as technologists.</w:t>
      </w:r>
    </w:p>
    <w:p w14:paraId="7552DF3C"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The pronoun "us" was frequently employed to underscore a shared vulnerability and experience concerning social media's effects. Examples like "What does it do to us?" (IT1), "That, for us, is the first significant distortion" (IT2), "the reality for us is that technology is subtly but powerfully guiding what we see" (IT3), and "That's the real, often hidden, cost of this pervasive addiction for us all" (IT4) effectively drew the audience into the problem statement. This collective framing of challenges fostered empathy and made the abstract concepts of digital influence feel personally relevant to every listener.</w:t>
      </w:r>
    </w:p>
    <w:p w14:paraId="074AFE9B"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A distinguishing feature of this group's approach was the significantly increased use of direct "you" for personal reflection and action. Compared to other groups, the IT presenters more frequently posed rhetorical questions directly to the audience, inviting self-assessment. IT2's query, "Have you ever posted a photo and then found yourself constantly checking...?" and IT4's evocative "Have you ever told yourself, 'I'll just check Instagram for 5 minutes,' and then suddenly you realize it’s been 2 hours?" powerfully engaged the audience, prompting personal reflection on their own digital habits. Furthermore, IT5's concluding solutions directly addressed the audience with advice such as "You can use app settings or external tools to help you" and imperative statements like "Turn off unnecessary notifications," transitioning the engagement from shared understanding to actionable personal steps.</w:t>
      </w:r>
    </w:p>
    <w:p w14:paraId="631632E2"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Similar to the Public Relations group, the IT presenters also emphasized collective responsibility through the repeated use of "we must." Phrases like "we must internalize a crucial understanding," "we must be smart and intentional," and "we all have a responsibility to combat misinformation" conveyed a strong sense of shared duty and a call to action. This was particularly pertinent to digital literacy and the ethical development of technology.</w:t>
      </w:r>
    </w:p>
    <w:p w14:paraId="65AAF93E"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Finally, the judicious use of the first-person singular "I" for anecdote and connection further personalized the presentation. IT2's phrase, "Let me give you a common example," followed by a relatable scenario, served to humanize complex concepts like dopamine release, making them accessible and tangible for the audience.</w:t>
      </w:r>
    </w:p>
    <w:p w14:paraId="6B28A400" w14:textId="77777777" w:rsidR="00140AA4" w:rsidRPr="00D77A30" w:rsidRDefault="00140AA4" w:rsidP="00140AA4">
      <w:pPr>
        <w:spacing w:before="100" w:beforeAutospacing="1" w:after="0" w:line="240" w:lineRule="auto"/>
        <w:outlineLvl w:val="2"/>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Group 5 Presentation Transcript: Accounting and Finance Students</w:t>
      </w:r>
    </w:p>
    <w:p w14:paraId="11288419" w14:textId="77777777" w:rsidR="00140AA4" w:rsidRPr="00D77A30" w:rsidRDefault="00140AA4" w:rsidP="00140AA4">
      <w:pPr>
        <w:spacing w:before="100" w:beforeAutospacing="1" w:after="0"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lastRenderedPageBreak/>
        <w:t>Personal Pronoun Frequency Count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1480"/>
        <w:gridCol w:w="500"/>
        <w:gridCol w:w="500"/>
        <w:gridCol w:w="500"/>
        <w:gridCol w:w="500"/>
        <w:gridCol w:w="500"/>
        <w:gridCol w:w="1322"/>
      </w:tblGrid>
      <w:tr w:rsidR="00140AA4" w:rsidRPr="00D77A30" w14:paraId="2290D7DB" w14:textId="77777777" w:rsidTr="00A444F4">
        <w:trPr>
          <w:tblCellSpacing w:w="15" w:type="dxa"/>
        </w:trPr>
        <w:tc>
          <w:tcPr>
            <w:tcW w:w="0" w:type="auto"/>
            <w:vAlign w:val="center"/>
            <w:hideMark/>
          </w:tcPr>
          <w:p w14:paraId="5A605C5E"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Pronoun</w:t>
            </w:r>
          </w:p>
        </w:tc>
        <w:tc>
          <w:tcPr>
            <w:tcW w:w="0" w:type="auto"/>
            <w:vAlign w:val="center"/>
            <w:hideMark/>
          </w:tcPr>
          <w:p w14:paraId="3DC45F36"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Type</w:t>
            </w:r>
          </w:p>
        </w:tc>
        <w:tc>
          <w:tcPr>
            <w:tcW w:w="0" w:type="auto"/>
            <w:vAlign w:val="center"/>
            <w:hideMark/>
          </w:tcPr>
          <w:p w14:paraId="31856506"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AF1</w:t>
            </w:r>
          </w:p>
        </w:tc>
        <w:tc>
          <w:tcPr>
            <w:tcW w:w="0" w:type="auto"/>
            <w:vAlign w:val="center"/>
            <w:hideMark/>
          </w:tcPr>
          <w:p w14:paraId="658158D1"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AF2</w:t>
            </w:r>
          </w:p>
        </w:tc>
        <w:tc>
          <w:tcPr>
            <w:tcW w:w="0" w:type="auto"/>
            <w:vAlign w:val="center"/>
            <w:hideMark/>
          </w:tcPr>
          <w:p w14:paraId="2E392843"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AF3</w:t>
            </w:r>
          </w:p>
        </w:tc>
        <w:tc>
          <w:tcPr>
            <w:tcW w:w="0" w:type="auto"/>
            <w:vAlign w:val="center"/>
            <w:hideMark/>
          </w:tcPr>
          <w:p w14:paraId="61CA601D"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AF4</w:t>
            </w:r>
          </w:p>
        </w:tc>
        <w:tc>
          <w:tcPr>
            <w:tcW w:w="0" w:type="auto"/>
            <w:vAlign w:val="center"/>
            <w:hideMark/>
          </w:tcPr>
          <w:p w14:paraId="2BD62735" w14:textId="77777777" w:rsidR="00140AA4" w:rsidRPr="00D77A30" w:rsidRDefault="00140AA4" w:rsidP="00A444F4">
            <w:pPr>
              <w:spacing w:after="0" w:line="240" w:lineRule="auto"/>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AF5</w:t>
            </w:r>
          </w:p>
        </w:tc>
        <w:tc>
          <w:tcPr>
            <w:tcW w:w="0" w:type="auto"/>
            <w:vAlign w:val="center"/>
            <w:hideMark/>
          </w:tcPr>
          <w:p w14:paraId="51AADA98" w14:textId="77777777" w:rsidR="00140AA4" w:rsidRPr="00D77A30" w:rsidRDefault="00140AA4" w:rsidP="00A444F4">
            <w:pPr>
              <w:spacing w:after="0" w:line="240" w:lineRule="auto"/>
              <w:jc w:val="center"/>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Total Count</w:t>
            </w:r>
          </w:p>
        </w:tc>
      </w:tr>
      <w:tr w:rsidR="00140AA4" w:rsidRPr="00D77A30" w14:paraId="36FE696D" w14:textId="77777777" w:rsidTr="00A444F4">
        <w:trPr>
          <w:tblCellSpacing w:w="15" w:type="dxa"/>
        </w:trPr>
        <w:tc>
          <w:tcPr>
            <w:tcW w:w="0" w:type="auto"/>
            <w:vAlign w:val="center"/>
            <w:hideMark/>
          </w:tcPr>
          <w:p w14:paraId="29B5AFD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w:t>
            </w:r>
          </w:p>
        </w:tc>
        <w:tc>
          <w:tcPr>
            <w:tcW w:w="0" w:type="auto"/>
            <w:vAlign w:val="center"/>
            <w:hideMark/>
          </w:tcPr>
          <w:p w14:paraId="3A27CFA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24561FD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7117E9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153117E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76EDE9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35E59B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5A49BEC"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r>
      <w:tr w:rsidR="00140AA4" w:rsidRPr="00D77A30" w14:paraId="1CE09D85" w14:textId="77777777" w:rsidTr="00A444F4">
        <w:trPr>
          <w:tblCellSpacing w:w="15" w:type="dxa"/>
        </w:trPr>
        <w:tc>
          <w:tcPr>
            <w:tcW w:w="0" w:type="auto"/>
            <w:vAlign w:val="center"/>
            <w:hideMark/>
          </w:tcPr>
          <w:p w14:paraId="591F596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We</w:t>
            </w:r>
          </w:p>
        </w:tc>
        <w:tc>
          <w:tcPr>
            <w:tcW w:w="0" w:type="auto"/>
            <w:vAlign w:val="center"/>
            <w:hideMark/>
          </w:tcPr>
          <w:p w14:paraId="22B4D5D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0E7BD59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3FBE0F2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7958D47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5FDCA08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2E06D16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c>
          <w:tcPr>
            <w:tcW w:w="0" w:type="auto"/>
            <w:vAlign w:val="center"/>
            <w:hideMark/>
          </w:tcPr>
          <w:p w14:paraId="569B3F84"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14</w:t>
            </w:r>
          </w:p>
        </w:tc>
      </w:tr>
      <w:tr w:rsidR="00140AA4" w:rsidRPr="00D77A30" w14:paraId="13614BBF" w14:textId="77777777" w:rsidTr="00A444F4">
        <w:trPr>
          <w:tblCellSpacing w:w="15" w:type="dxa"/>
        </w:trPr>
        <w:tc>
          <w:tcPr>
            <w:tcW w:w="0" w:type="auto"/>
            <w:vAlign w:val="center"/>
            <w:hideMark/>
          </w:tcPr>
          <w:p w14:paraId="7007C6B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Our</w:t>
            </w:r>
          </w:p>
        </w:tc>
        <w:tc>
          <w:tcPr>
            <w:tcW w:w="0" w:type="auto"/>
            <w:vAlign w:val="center"/>
            <w:hideMark/>
          </w:tcPr>
          <w:p w14:paraId="75602F2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05FECE8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1B46E52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09D181D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56E5D2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35F7C74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DA3E3A6"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r>
      <w:tr w:rsidR="00140AA4" w:rsidRPr="00D77A30" w14:paraId="6B315E59" w14:textId="77777777" w:rsidTr="00A444F4">
        <w:trPr>
          <w:tblCellSpacing w:w="15" w:type="dxa"/>
        </w:trPr>
        <w:tc>
          <w:tcPr>
            <w:tcW w:w="0" w:type="auto"/>
            <w:vAlign w:val="center"/>
            <w:hideMark/>
          </w:tcPr>
          <w:p w14:paraId="16A39C5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Us</w:t>
            </w:r>
          </w:p>
        </w:tc>
        <w:tc>
          <w:tcPr>
            <w:tcW w:w="0" w:type="auto"/>
            <w:vAlign w:val="center"/>
            <w:hideMark/>
          </w:tcPr>
          <w:p w14:paraId="1DB20AD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First Person</w:t>
            </w:r>
          </w:p>
        </w:tc>
        <w:tc>
          <w:tcPr>
            <w:tcW w:w="0" w:type="auto"/>
            <w:vAlign w:val="center"/>
            <w:hideMark/>
          </w:tcPr>
          <w:p w14:paraId="5257251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7436994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6DA416C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2</w:t>
            </w:r>
          </w:p>
        </w:tc>
        <w:tc>
          <w:tcPr>
            <w:tcW w:w="0" w:type="auto"/>
            <w:vAlign w:val="center"/>
            <w:hideMark/>
          </w:tcPr>
          <w:p w14:paraId="4B0AE19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B7CCC6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7DBA3287"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8</w:t>
            </w:r>
          </w:p>
        </w:tc>
      </w:tr>
      <w:tr w:rsidR="00140AA4" w:rsidRPr="00D77A30" w14:paraId="29BE436C" w14:textId="77777777" w:rsidTr="00A444F4">
        <w:trPr>
          <w:tblCellSpacing w:w="15" w:type="dxa"/>
        </w:trPr>
        <w:tc>
          <w:tcPr>
            <w:tcW w:w="0" w:type="auto"/>
            <w:vAlign w:val="center"/>
            <w:hideMark/>
          </w:tcPr>
          <w:p w14:paraId="5FFD7F8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w:t>
            </w:r>
          </w:p>
        </w:tc>
        <w:tc>
          <w:tcPr>
            <w:tcW w:w="0" w:type="auto"/>
            <w:vAlign w:val="center"/>
            <w:hideMark/>
          </w:tcPr>
          <w:p w14:paraId="1B12605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2B06E4F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4289A44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570108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2736277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6394CAB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E3170B9"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4</w:t>
            </w:r>
          </w:p>
        </w:tc>
      </w:tr>
      <w:tr w:rsidR="00140AA4" w:rsidRPr="00D77A30" w14:paraId="64456C30" w14:textId="77777777" w:rsidTr="00A444F4">
        <w:trPr>
          <w:tblCellSpacing w:w="15" w:type="dxa"/>
        </w:trPr>
        <w:tc>
          <w:tcPr>
            <w:tcW w:w="0" w:type="auto"/>
            <w:vAlign w:val="center"/>
            <w:hideMark/>
          </w:tcPr>
          <w:p w14:paraId="032D546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Your</w:t>
            </w:r>
          </w:p>
        </w:tc>
        <w:tc>
          <w:tcPr>
            <w:tcW w:w="0" w:type="auto"/>
            <w:vAlign w:val="center"/>
            <w:hideMark/>
          </w:tcPr>
          <w:p w14:paraId="7D0B1EB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Second Person</w:t>
            </w:r>
          </w:p>
        </w:tc>
        <w:tc>
          <w:tcPr>
            <w:tcW w:w="0" w:type="auto"/>
            <w:vAlign w:val="center"/>
            <w:hideMark/>
          </w:tcPr>
          <w:p w14:paraId="2EA77BD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A472B57"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7569DF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60F6119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5B0EF04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1</w:t>
            </w:r>
          </w:p>
        </w:tc>
        <w:tc>
          <w:tcPr>
            <w:tcW w:w="0" w:type="auto"/>
            <w:vAlign w:val="center"/>
            <w:hideMark/>
          </w:tcPr>
          <w:p w14:paraId="6723D23D"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3</w:t>
            </w:r>
          </w:p>
        </w:tc>
      </w:tr>
      <w:tr w:rsidR="00140AA4" w:rsidRPr="00D77A30" w14:paraId="556C6093" w14:textId="77777777" w:rsidTr="00A444F4">
        <w:trPr>
          <w:tblCellSpacing w:w="15" w:type="dxa"/>
        </w:trPr>
        <w:tc>
          <w:tcPr>
            <w:tcW w:w="0" w:type="auto"/>
            <w:vAlign w:val="center"/>
            <w:hideMark/>
          </w:tcPr>
          <w:p w14:paraId="56545B3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proofErr w:type="spellStart"/>
            <w:r w:rsidRPr="00D77A30">
              <w:rPr>
                <w:rFonts w:ascii="Times New Roman" w:eastAsia="Times New Roman" w:hAnsi="Times New Roman" w:cs="Times New Roman"/>
                <w:kern w:val="0"/>
                <w14:ligatures w14:val="none"/>
              </w:rPr>
              <w:t>He/She</w:t>
            </w:r>
            <w:proofErr w:type="spellEnd"/>
          </w:p>
        </w:tc>
        <w:tc>
          <w:tcPr>
            <w:tcW w:w="0" w:type="auto"/>
            <w:vAlign w:val="center"/>
            <w:hideMark/>
          </w:tcPr>
          <w:p w14:paraId="7D3BDE1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7CC2F58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E526DF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1B52B8C4"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F86E49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4FD115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B8FC458"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5CDC3D57" w14:textId="77777777" w:rsidTr="00A444F4">
        <w:trPr>
          <w:tblCellSpacing w:w="15" w:type="dxa"/>
        </w:trPr>
        <w:tc>
          <w:tcPr>
            <w:tcW w:w="0" w:type="auto"/>
            <w:vAlign w:val="center"/>
            <w:hideMark/>
          </w:tcPr>
          <w:p w14:paraId="39C1C3F1"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It</w:t>
            </w:r>
          </w:p>
        </w:tc>
        <w:tc>
          <w:tcPr>
            <w:tcW w:w="0" w:type="auto"/>
            <w:vAlign w:val="center"/>
            <w:hideMark/>
          </w:tcPr>
          <w:p w14:paraId="5986B48A"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1FC8F09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0 0</w:t>
            </w:r>
          </w:p>
        </w:tc>
        <w:tc>
          <w:tcPr>
            <w:tcW w:w="0" w:type="auto"/>
            <w:vAlign w:val="center"/>
            <w:hideMark/>
          </w:tcPr>
          <w:p w14:paraId="7AC3B91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1A14D99"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42ACC1C"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8E52CB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AF1E49D"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251F6435" w14:textId="77777777" w:rsidTr="00A444F4">
        <w:trPr>
          <w:tblCellSpacing w:w="15" w:type="dxa"/>
        </w:trPr>
        <w:tc>
          <w:tcPr>
            <w:tcW w:w="0" w:type="auto"/>
            <w:vAlign w:val="center"/>
            <w:hideMark/>
          </w:tcPr>
          <w:p w14:paraId="082A1870"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They</w:t>
            </w:r>
          </w:p>
        </w:tc>
        <w:tc>
          <w:tcPr>
            <w:tcW w:w="0" w:type="auto"/>
            <w:vAlign w:val="center"/>
            <w:hideMark/>
          </w:tcPr>
          <w:p w14:paraId="51F82E6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3918AAE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0260AA4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170F0C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4D3039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E3D0F1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778ECC0"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17487365" w14:textId="77777777" w:rsidTr="00A444F4">
        <w:trPr>
          <w:tblCellSpacing w:w="15" w:type="dxa"/>
        </w:trPr>
        <w:tc>
          <w:tcPr>
            <w:tcW w:w="0" w:type="auto"/>
            <w:vAlign w:val="center"/>
            <w:hideMark/>
          </w:tcPr>
          <w:p w14:paraId="405412A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Their</w:t>
            </w:r>
          </w:p>
        </w:tc>
        <w:tc>
          <w:tcPr>
            <w:tcW w:w="0" w:type="auto"/>
            <w:vAlign w:val="center"/>
            <w:hideMark/>
          </w:tcPr>
          <w:p w14:paraId="745C82D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1C1504DF"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D68957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03B91E8"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685965CB"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48A307E5"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172AC4A"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r w:rsidR="00140AA4" w:rsidRPr="00D77A30" w14:paraId="6C293930" w14:textId="77777777" w:rsidTr="00A444F4">
        <w:trPr>
          <w:tblCellSpacing w:w="15" w:type="dxa"/>
        </w:trPr>
        <w:tc>
          <w:tcPr>
            <w:tcW w:w="0" w:type="auto"/>
            <w:vAlign w:val="center"/>
            <w:hideMark/>
          </w:tcPr>
          <w:p w14:paraId="517F9B5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Them</w:t>
            </w:r>
          </w:p>
        </w:tc>
        <w:tc>
          <w:tcPr>
            <w:tcW w:w="0" w:type="auto"/>
            <w:vAlign w:val="center"/>
            <w:hideMark/>
          </w:tcPr>
          <w:p w14:paraId="27784F66"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Third Person</w:t>
            </w:r>
          </w:p>
        </w:tc>
        <w:tc>
          <w:tcPr>
            <w:tcW w:w="0" w:type="auto"/>
            <w:vAlign w:val="center"/>
            <w:hideMark/>
          </w:tcPr>
          <w:p w14:paraId="4D8AC54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FBE6092"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258BBAF3"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7C8FC40E"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32614DBD" w14:textId="77777777" w:rsidR="00140AA4" w:rsidRPr="00D77A30" w:rsidRDefault="00140AA4" w:rsidP="00A444F4">
            <w:pPr>
              <w:spacing w:after="0"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c>
          <w:tcPr>
            <w:tcW w:w="0" w:type="auto"/>
            <w:vAlign w:val="center"/>
            <w:hideMark/>
          </w:tcPr>
          <w:p w14:paraId="59F020DA" w14:textId="77777777" w:rsidR="00140AA4" w:rsidRPr="00D77A30" w:rsidRDefault="00140AA4" w:rsidP="00A444F4">
            <w:pPr>
              <w:spacing w:after="0" w:line="240" w:lineRule="auto"/>
              <w:jc w:val="center"/>
              <w:rPr>
                <w:rFonts w:ascii="Times New Roman" w:eastAsia="Times New Roman" w:hAnsi="Times New Roman" w:cs="Times New Roman"/>
                <w:kern w:val="0"/>
                <w14:ligatures w14:val="none"/>
              </w:rPr>
            </w:pPr>
            <w:r w:rsidRPr="00D77A30">
              <w:rPr>
                <w:rFonts w:ascii="Times New Roman" w:eastAsia="Times New Roman" w:hAnsi="Times New Roman" w:cs="Times New Roman"/>
                <w:kern w:val="0"/>
                <w14:ligatures w14:val="none"/>
              </w:rPr>
              <w:t>0</w:t>
            </w:r>
          </w:p>
        </w:tc>
      </w:tr>
    </w:tbl>
    <w:p w14:paraId="0483D928" w14:textId="77777777" w:rsidR="00140AA4" w:rsidRPr="00D77A30"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D77A30">
        <w:rPr>
          <w:rFonts w:ascii="Times New Roman" w:eastAsia="Times New Roman" w:hAnsi="Times New Roman" w:cs="Times New Roman"/>
          <w:b/>
          <w:bCs/>
          <w:kern w:val="0"/>
          <w14:ligatures w14:val="none"/>
        </w:rPr>
        <w:t>Total Personal Pronoun Occurrences: 34</w:t>
      </w:r>
    </w:p>
    <w:p w14:paraId="512E8A9A" w14:textId="77777777" w:rsidR="00140AA4" w:rsidRPr="00D77A30" w:rsidRDefault="00140AA4" w:rsidP="00140AA4">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77A30">
        <w:rPr>
          <w:rFonts w:ascii="Times New Roman" w:eastAsia="Times New Roman" w:hAnsi="Times New Roman" w:cs="Times New Roman"/>
          <w:b/>
          <w:bCs/>
          <w:kern w:val="0"/>
          <w14:ligatures w14:val="none"/>
        </w:rPr>
        <w:t>Thematic Exploration and Discussion</w:t>
      </w:r>
    </w:p>
    <w:p w14:paraId="01882332"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The Accounting and Finance group skillfully employed personal pronouns to frame the pervasive impact of social media through a distinct financial lens. Their strategy effectively combined inclusive language with direct, actionable advice and cautionary warnings related to personal finance, demonstrating a nuanced approach to audience engagement. Central to their presentation was the use of "we" to establish the presenters' identity as financial experts and keen observers. AF1 immediately set this tone, asserting, "As students who deeply study numbers, values, and critical business decisions, we have all observed that social media significantly affects how people value themselves, how they spend their hard-earned money, and how they make financial decisions." This statement not only positioned the group as authoritative but also made their expertise relatable by connecting it to universal financial experiences. Subsequent speakers consistently reinforced this credibility: AF2 declared, "As Accounting and Finance students, we always emphasize this crucial principle," while AF3 reminded the audience, "As we always say in Finance, you must always meticulously check the risk versus the potential return," and AF4 noted, "In Finance, we constantly talk about assets and liabilities." These collective statements underscored their academic grounding and provided a foundation of shared professional knowledge.</w:t>
      </w:r>
    </w:p>
    <w:p w14:paraId="5EBAE232"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The pronoun "us" was strategically utilized to highlight shared financial vulnerabilities and the inherent risks associated with social media. Examples such as "What are the hidden costs for us?" (AF1), "especially young people like us who are still in school" (AF2), and "The inherent problem for us is that some of these products or schemes are not genuine or safe" (AF3) fostered a sense of collective caution and empathy. AF4's stark warning, "the stark truth for us: if your self-worth depends solely on how you look online, it can quickly become a liability," further drew the audience into understanding these shared dangers, making the content deeply personal and impactful.</w:t>
      </w:r>
    </w:p>
    <w:p w14:paraId="42847860" w14:textId="77777777"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lastRenderedPageBreak/>
        <w:t>While the inclusive "we" and "us" predominated, the group effectively integrated the direct "you" for financial advice and warnings. This shift in address was particularly evident when delivering actionable guidance. AF3 cautioned, "It’s absolutely crucial to conduct thorough research before you buy anything online or consider investing in something just because you saw it trending..." Similarly, AF5's practical tips were almost entirely addressed to the audience using "you," as seen in directives like "Plan your time on social media" and "Don’t compare your real life to someone’s highlight reel." This direct approach transitioned the engagement from a collective understanding of the problem to empowering individuals with concrete, actionable steps for financial prudence.</w:t>
      </w:r>
    </w:p>
    <w:p w14:paraId="6F0AC281" w14:textId="0DF02FEE" w:rsidR="00140AA4" w:rsidRPr="00140AA4" w:rsidRDefault="00140AA4" w:rsidP="00140AA4">
      <w:pPr>
        <w:spacing w:before="100" w:beforeAutospacing="1" w:after="100" w:afterAutospacing="1" w:line="240" w:lineRule="auto"/>
        <w:rPr>
          <w:rFonts w:ascii="Times New Roman" w:eastAsia="Times New Roman" w:hAnsi="Times New Roman" w:cs="Times New Roman"/>
          <w:kern w:val="0"/>
          <w14:ligatures w14:val="none"/>
        </w:rPr>
      </w:pPr>
      <w:r w:rsidRPr="00140AA4">
        <w:rPr>
          <w:rFonts w:ascii="Times New Roman" w:eastAsia="Times New Roman" w:hAnsi="Times New Roman" w:cs="Times New Roman"/>
          <w:kern w:val="0"/>
          <w14:ligatures w14:val="none"/>
        </w:rPr>
        <w:t>Furthermore, the strategic deployment of "my/I" for relatability provided a personal touch. AF2's hypothetical scenario, "if I see my friend buying the latest iPhone or showing off a trip to Dubai, I might subconsciously feel pressured...", made the abstract concept of peer pressure tangible and highly relatable for the audience, inviting them to consider similar experiences. Finally, like other presenting groups, the Accounting and Finance students employed phrases such as "every one of us" or "all of us" to underscore the universal impact of social media on financial well-being. AF2 concluded a point with, "It's a powerful reminder for all of us," and AF3 referred to a "very pressing issue for us all." This reinforced the idea that the financial implications of social media were not confined to a niche group but affected everyone present.</w:t>
      </w:r>
      <w:r w:rsidR="00D46190">
        <w:rPr>
          <w:rFonts w:ascii="Times New Roman" w:eastAsia="Times New Roman" w:hAnsi="Times New Roman" w:cs="Times New Roman"/>
          <w:kern w:val="0"/>
          <w14:ligatures w14:val="none"/>
        </w:rPr>
        <w:t xml:space="preserve"> </w:t>
      </w:r>
    </w:p>
    <w:p w14:paraId="2655BE79" w14:textId="77777777" w:rsidR="00E16963" w:rsidRPr="00C76F2D" w:rsidRDefault="00E16963" w:rsidP="00E47D40">
      <w:pPr>
        <w:spacing w:before="100" w:beforeAutospacing="1" w:after="100" w:afterAutospacing="1" w:line="240" w:lineRule="auto"/>
        <w:rPr>
          <w:rFonts w:ascii="Times New Roman" w:eastAsia="Times New Roman" w:hAnsi="Times New Roman" w:cs="Times New Roman"/>
          <w:kern w:val="0"/>
          <w14:ligatures w14:val="none"/>
        </w:rPr>
      </w:pPr>
    </w:p>
    <w:p w14:paraId="199C9B89" w14:textId="77777777" w:rsidR="00D46190" w:rsidRPr="00D46190" w:rsidRDefault="00D46190" w:rsidP="00D46190">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46190">
        <w:rPr>
          <w:rFonts w:ascii="Times New Roman" w:eastAsia="Times New Roman" w:hAnsi="Times New Roman" w:cs="Times New Roman"/>
          <w:b/>
          <w:bCs/>
          <w:kern w:val="0"/>
          <w14:ligatures w14:val="none"/>
        </w:rPr>
        <w:t>Overall Discussion</w:t>
      </w:r>
    </w:p>
    <w:p w14:paraId="28079736" w14:textId="49E972F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This </w:t>
      </w:r>
      <w:r>
        <w:rPr>
          <w:rFonts w:ascii="Times New Roman" w:eastAsia="Times New Roman" w:hAnsi="Times New Roman" w:cs="Times New Roman"/>
          <w:kern w:val="0"/>
          <w14:ligatures w14:val="none"/>
        </w:rPr>
        <w:t xml:space="preserve">analysis </w:t>
      </w:r>
      <w:r w:rsidRPr="00D46190">
        <w:rPr>
          <w:rFonts w:ascii="Times New Roman" w:eastAsia="Times New Roman" w:hAnsi="Times New Roman" w:cs="Times New Roman"/>
          <w:kern w:val="0"/>
          <w14:ligatures w14:val="none"/>
        </w:rPr>
        <w:t>reveal</w:t>
      </w:r>
      <w:r>
        <w:rPr>
          <w:rFonts w:ascii="Times New Roman" w:eastAsia="Times New Roman" w:hAnsi="Times New Roman" w:cs="Times New Roman"/>
          <w:kern w:val="0"/>
          <w14:ligatures w14:val="none"/>
        </w:rPr>
        <w:t>ed</w:t>
      </w:r>
      <w:r w:rsidRPr="00D46190">
        <w:rPr>
          <w:rFonts w:ascii="Times New Roman" w:eastAsia="Times New Roman" w:hAnsi="Times New Roman" w:cs="Times New Roman"/>
          <w:kern w:val="0"/>
          <w14:ligatures w14:val="none"/>
        </w:rPr>
        <w:t xml:space="preserve"> a sophisticated and varied approach to fostering audience engagement and interpersonal connection. While all groups predominantly leveraged first-person plural pronouns ("we," "our," "us") to establish a shared experience and collective identity, the nuanced application of these and other pronouns unveiled distinct communicative strategies tailored to each discipline's focus. The consistent use of "we" across all presentations primarily served as a powerful inclusionary device, effectively bridging the traditional speaker-audience divide and inviting listeners into a collaborative intellectual journey.</w:t>
      </w:r>
    </w:p>
    <w:p w14:paraId="4640AE2F"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A recurring theme across the Transport and Logistics, Business Administration, Public Relations, and Accounting and Finance groups was the strategic use of "we" to establish credibility and authority. Presenters frequently anchored their insights in their academic identity ("As Transport and Logistics students, we are taught...") or professional principles ("In Public Relations, image matters immensely"). This not only bolstered their expert standing but also framed the discussion as being grounded in established knowledge, making their arguments more persuasive and relatable. For instance, the Transport and Logistics and Business Administration groups used "we are taught" to reinforce their academic background, while Public Relations and Accounting and Finance presenters invoked their disciplinary norms ("In Public Relations, we study...", "As we always say in Finance...") to lend gravitas to their points.</w:t>
      </w:r>
    </w:p>
    <w:p w14:paraId="3A672A6D"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Beyond establishing expertise, the inclusive "we" was consistently employed to highlight shared challenges and universal relevance. Phrases like "we all grapple with" (Transport and Logistics), "touches all our lives" (Business Administration), "a challenge we all face" (Public Relations), </w:t>
      </w:r>
      <w:r w:rsidRPr="00D46190">
        <w:rPr>
          <w:rFonts w:ascii="Times New Roman" w:eastAsia="Times New Roman" w:hAnsi="Times New Roman" w:cs="Times New Roman"/>
          <w:kern w:val="0"/>
          <w14:ligatures w14:val="none"/>
        </w:rPr>
        <w:lastRenderedPageBreak/>
        <w:t>and "What are the hidden costs for us?" (Accounting and Finance) underscored the widespread impact of social media, making the content personally resonate with every audience member regardless of their academic background. This collective framing fostered empathy and transformed abstract concepts into tangible, shared concerns.</w:t>
      </w:r>
    </w:p>
    <w:p w14:paraId="22D359E9"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A particularly effective interpersonal strategy observed was the use of "we must" to convey a sense of collective duty and advocate for action. The Public Relations and Information Technology groups, in particular, leveraged this construction ("we must grasp," "we must be smart and intentional") to issue a compelling call to action, positioning both presenters and audience members as responsible agents in navigating the complexities of the digital age. This elevated the presentations beyond mere information dissemination, transforming them into shared imperatives for critical engagement and ethical conduct.</w:t>
      </w:r>
    </w:p>
    <w:p w14:paraId="212D0FF8"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While the "we" pronoun dominated, the varying degrees of second-person pronoun ("you") usage offered insights into differing direct engagement strategies. The Transport and Logistics and Public Relations groups used "you" minimally, maintaining a strong focus on collective responsibility. In contrast, the Information Technology and Accounting and Finance groups demonstrated a more dynamic approach, significantly increasing their use of "you" in concluding segments to deliver direct, actionable advice and prompt personal reflection. IT presenters, for example, used rhetorical questions like "Have you ever posted...?" to encourage self-assessment, while Accounting and Finance students provided direct financial guidance: "conduct thorough research before you buy anything online." This shift indicated a strategic move from collective understanding to empowering individual agency.</w:t>
      </w:r>
    </w:p>
    <w:p w14:paraId="58CA6C24"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Furthermore, the judicious first-person singular ("I") emerged as a powerful tool for relatability and personalization, especially evident in the Information Technology and Accounting and Finance presentations. Anecdotal openings or hypothetical scenarios using "I" ("Let me give you a common example," "if I see my friend buying...") served to humanize complex concepts and make them accessible, inviting the audience to connect with the content on a personal level.</w:t>
      </w:r>
    </w:p>
    <w:p w14:paraId="664FD145" w14:textId="594B1AFD"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In sum, the thematic analysis of pronoun usage across these diverse presentations highlights a sophisticated understanding among UPSA undergraduates of how linguistic choices can strategically shape audience perception and engagement. The pervasive use of inclusive pronouns cultivated a sense of shared journey and responsibility, while the selective deployment of direct "you" and anecdotal "I" allowed for targeted advice and enhanced personal relevance. These findings underscore the importance of personal pronouns as fundamental interpersonal strategies in effective oral communication within academic settings.</w:t>
      </w:r>
    </w:p>
    <w:p w14:paraId="1F1C2912" w14:textId="77777777" w:rsidR="00D46190" w:rsidRPr="00D46190" w:rsidRDefault="00D46190" w:rsidP="00D46190">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46190">
        <w:rPr>
          <w:rFonts w:ascii="Times New Roman" w:eastAsia="Times New Roman" w:hAnsi="Times New Roman" w:cs="Times New Roman"/>
          <w:b/>
          <w:bCs/>
          <w:kern w:val="0"/>
          <w14:ligatures w14:val="none"/>
        </w:rPr>
        <w:t>Conclusion</w:t>
      </w:r>
    </w:p>
    <w:p w14:paraId="16606BB0"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This study has meticulously explored the intricate ways undergraduate students at the University of Professional Studies, Accra, strategically wield personal pronouns to enhance audience engagement and foster interpersonal connections during oral academic presentations. Our analysis clearly demonstrates that the choice and frequency of pronouns are not arbitrary but rather deliberate linguistic maneuvers aimed at achieving specific communicative objectives. The overwhelming reliance on first-person plural pronouns ("we," "our," "us</w:t>
      </w:r>
      <w:r w:rsidRPr="00D46190">
        <w:rPr>
          <w:rFonts w:ascii="Times New Roman" w:eastAsia="Times New Roman" w:hAnsi="Times New Roman" w:cs="Times New Roman"/>
          <w:b/>
          <w:bCs/>
          <w:kern w:val="0"/>
          <w14:ligatures w14:val="none"/>
        </w:rPr>
        <w:t>")</w:t>
      </w:r>
      <w:r w:rsidRPr="00D46190">
        <w:rPr>
          <w:rFonts w:ascii="Times New Roman" w:eastAsia="Times New Roman" w:hAnsi="Times New Roman" w:cs="Times New Roman"/>
          <w:kern w:val="0"/>
          <w14:ligatures w14:val="none"/>
        </w:rPr>
        <w:t xml:space="preserve"> emerged as the </w:t>
      </w:r>
      <w:r w:rsidRPr="00D46190">
        <w:rPr>
          <w:rFonts w:ascii="Times New Roman" w:eastAsia="Times New Roman" w:hAnsi="Times New Roman" w:cs="Times New Roman"/>
          <w:kern w:val="0"/>
          <w14:ligatures w14:val="none"/>
        </w:rPr>
        <w:lastRenderedPageBreak/>
        <w:t>cornerstone of their engagement strategy, effectively creating a shared space of inquiry and collective responsibility. This inclusive approach not only minimized the traditional speaker-audience divide but also cultivated a powerful sense of unity, framing complex issues as universally relevant concerns.</w:t>
      </w:r>
    </w:p>
    <w:p w14:paraId="0C0FF1BE"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Moreover, the varied integration of second-person pronouns ("you") signaled a nuanced shift in engagement, moving from collective understanding to direct, actionable advice and personal introspection, particularly in presentations from fields like Information Technology and Accounting and Finance. Similarly, the strategic, albeit less frequent, deployment of the first-person singular ("I") injected a crucial element of relatability and anecdote, humanizing potentially abstract topics.</w:t>
      </w:r>
    </w:p>
    <w:p w14:paraId="5AB9BF58" w14:textId="77777777" w:rsid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These findings affirm the critical role of personal pronouns as sophisticated interpersonal strategies in academic discourse. They highlight how student presenters, often implicitly, adapt their linguistic choices to establish credibility, underscore shared vulnerabilities, advocate for collective action, and empower individual agency. For educators, these insights underscore the importance of explicitly teaching the strategic functions of personal pronouns in presentation skills courses, thereby equipping students with more potent tools for effective communication. Future research could delve deeper into the audience's perception of these pronoun usages, examining how different pronoun strategies influence actual engagement levels and knowledge retention across various disciplinary contexts. Ultimately, this study contributes to a richer understanding of the dynamic interplay between language, identity, and audience connection in undergraduate oral presentations within the Ghanaian academic landscape.</w:t>
      </w:r>
    </w:p>
    <w:p w14:paraId="1FFAFC93" w14:textId="77777777" w:rsidR="00D46190" w:rsidRPr="00D46190" w:rsidRDefault="00D46190" w:rsidP="00D46190">
      <w:pPr>
        <w:spacing w:before="100" w:beforeAutospacing="1" w:after="100" w:afterAutospacing="1" w:line="240" w:lineRule="auto"/>
        <w:rPr>
          <w:rFonts w:ascii="Times New Roman" w:eastAsia="Times New Roman" w:hAnsi="Times New Roman" w:cs="Times New Roman"/>
          <w:kern w:val="0"/>
          <w14:ligatures w14:val="none"/>
        </w:rPr>
      </w:pPr>
    </w:p>
    <w:p w14:paraId="197DA02F" w14:textId="77777777" w:rsidR="00D46190" w:rsidRPr="00D46190" w:rsidRDefault="00D46190" w:rsidP="00D46190">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46190">
        <w:rPr>
          <w:rFonts w:ascii="Times New Roman" w:eastAsia="Times New Roman" w:hAnsi="Times New Roman" w:cs="Times New Roman"/>
          <w:b/>
          <w:bCs/>
          <w:kern w:val="0"/>
          <w14:ligatures w14:val="none"/>
        </w:rPr>
        <w:t>References</w:t>
      </w:r>
    </w:p>
    <w:p w14:paraId="0376FAE0"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Abubakar, I. (2022). </w:t>
      </w:r>
      <w:r w:rsidRPr="00D46190">
        <w:rPr>
          <w:rFonts w:ascii="Times New Roman" w:eastAsia="Times New Roman" w:hAnsi="Times New Roman" w:cs="Times New Roman"/>
          <w:i/>
          <w:iCs/>
          <w:kern w:val="0"/>
          <w14:ligatures w14:val="none"/>
        </w:rPr>
        <w:t>The pronoun ‘we’ and ideological commitment: A corpus-assisted critical discourse analysis of the manifestoes of the two major Ghanaian political parties</w:t>
      </w:r>
      <w:r w:rsidRPr="00D46190">
        <w:rPr>
          <w:rFonts w:ascii="Times New Roman" w:eastAsia="Times New Roman" w:hAnsi="Times New Roman" w:cs="Times New Roman"/>
          <w:kern w:val="0"/>
          <w14:ligatures w14:val="none"/>
        </w:rPr>
        <w:t xml:space="preserve"> [Master's thesis, University of Cape Coast].</w:t>
      </w:r>
    </w:p>
    <w:p w14:paraId="06832803" w14:textId="2C25F664"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Abukari</w:t>
      </w:r>
      <w:proofErr w:type="spellEnd"/>
      <w:r w:rsidRPr="00D46190">
        <w:rPr>
          <w:rFonts w:ascii="Times New Roman" w:eastAsia="Times New Roman" w:hAnsi="Times New Roman" w:cs="Times New Roman"/>
          <w:kern w:val="0"/>
          <w14:ligatures w14:val="none"/>
        </w:rPr>
        <w:t xml:space="preserve">, K. (2019). The syntax of Dagbani personal pronouns: An analysis. </w:t>
      </w:r>
      <w:r w:rsidRPr="00D46190">
        <w:rPr>
          <w:rFonts w:ascii="Times New Roman" w:eastAsia="Times New Roman" w:hAnsi="Times New Roman" w:cs="Times New Roman"/>
          <w:i/>
          <w:iCs/>
          <w:kern w:val="0"/>
          <w14:ligatures w14:val="none"/>
        </w:rPr>
        <w:t>Legon Journal of the Humanities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30</w:t>
      </w:r>
      <w:r w:rsidRPr="00D46190">
        <w:rPr>
          <w:rFonts w:ascii="Times New Roman" w:eastAsia="Times New Roman" w:hAnsi="Times New Roman" w:cs="Times New Roman"/>
          <w:kern w:val="0"/>
          <w14:ligatures w14:val="none"/>
        </w:rPr>
        <w:t xml:space="preserve">(2), 125–142. </w:t>
      </w:r>
    </w:p>
    <w:p w14:paraId="70A2BD40"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Aguilar, M. (2009). </w:t>
      </w:r>
      <w:proofErr w:type="spellStart"/>
      <w:r w:rsidRPr="00D46190">
        <w:rPr>
          <w:rFonts w:ascii="Times New Roman" w:eastAsia="Times New Roman" w:hAnsi="Times New Roman" w:cs="Times New Roman"/>
          <w:i/>
          <w:iCs/>
          <w:kern w:val="0"/>
          <w14:ligatures w14:val="none"/>
        </w:rPr>
        <w:t>Metadiscourse</w:t>
      </w:r>
      <w:proofErr w:type="spellEnd"/>
      <w:r w:rsidRPr="00D46190">
        <w:rPr>
          <w:rFonts w:ascii="Times New Roman" w:eastAsia="Times New Roman" w:hAnsi="Times New Roman" w:cs="Times New Roman"/>
          <w:i/>
          <w:iCs/>
          <w:kern w:val="0"/>
          <w14:ligatures w14:val="none"/>
        </w:rPr>
        <w:t xml:space="preserve"> in academic speech: A relevance-theoretic approach</w:t>
      </w:r>
      <w:r w:rsidRPr="00D46190">
        <w:rPr>
          <w:rFonts w:ascii="Times New Roman" w:eastAsia="Times New Roman" w:hAnsi="Times New Roman" w:cs="Times New Roman"/>
          <w:kern w:val="0"/>
          <w14:ligatures w14:val="none"/>
        </w:rPr>
        <w:t>.</w:t>
      </w:r>
    </w:p>
    <w:p w14:paraId="2E432900"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Ahour, T., &amp; Entezari Maleki, S. (2014). The effect of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instruction on Iranian EFL learners’ speaking ability. </w:t>
      </w:r>
      <w:r w:rsidRPr="00D46190">
        <w:rPr>
          <w:rFonts w:ascii="Times New Roman" w:eastAsia="Times New Roman" w:hAnsi="Times New Roman" w:cs="Times New Roman"/>
          <w:i/>
          <w:iCs/>
          <w:kern w:val="0"/>
          <w14:ligatures w14:val="none"/>
        </w:rPr>
        <w:t>English Language Teaching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7</w:t>
      </w:r>
      <w:r w:rsidRPr="00D46190">
        <w:rPr>
          <w:rFonts w:ascii="Times New Roman" w:eastAsia="Times New Roman" w:hAnsi="Times New Roman" w:cs="Times New Roman"/>
          <w:kern w:val="0"/>
          <w14:ligatures w14:val="none"/>
        </w:rPr>
        <w:t>(10), 1–69.</w:t>
      </w:r>
    </w:p>
    <w:p w14:paraId="6188BC71" w14:textId="627E76B6"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Alinezhad</w:t>
      </w:r>
      <w:proofErr w:type="spellEnd"/>
      <w:r w:rsidRPr="00D46190">
        <w:rPr>
          <w:rFonts w:ascii="Times New Roman" w:eastAsia="Times New Roman" w:hAnsi="Times New Roman" w:cs="Times New Roman"/>
          <w:kern w:val="0"/>
          <w14:ligatures w14:val="none"/>
        </w:rPr>
        <w:t xml:space="preserve">, B. (2014). A study of interactional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markers and gender in the defense seminars of Persian speakers. </w:t>
      </w:r>
      <w:r w:rsidRPr="00D46190">
        <w:rPr>
          <w:rFonts w:ascii="Times New Roman" w:eastAsia="Times New Roman" w:hAnsi="Times New Roman" w:cs="Times New Roman"/>
          <w:i/>
          <w:iCs/>
          <w:kern w:val="0"/>
          <w14:ligatures w14:val="none"/>
        </w:rPr>
        <w:t>Journal of Educational and Social Research</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4</w:t>
      </w:r>
      <w:r w:rsidRPr="00D46190">
        <w:rPr>
          <w:rFonts w:ascii="Times New Roman" w:eastAsia="Times New Roman" w:hAnsi="Times New Roman" w:cs="Times New Roman"/>
          <w:kern w:val="0"/>
          <w14:ligatures w14:val="none"/>
        </w:rPr>
        <w:t xml:space="preserve">(1), 231. </w:t>
      </w:r>
    </w:p>
    <w:p w14:paraId="55B213EA" w14:textId="1593CF25"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Azijah</w:t>
      </w:r>
      <w:proofErr w:type="spellEnd"/>
      <w:r w:rsidRPr="00D46190">
        <w:rPr>
          <w:rFonts w:ascii="Times New Roman" w:eastAsia="Times New Roman" w:hAnsi="Times New Roman" w:cs="Times New Roman"/>
          <w:kern w:val="0"/>
          <w14:ligatures w14:val="none"/>
        </w:rPr>
        <w:t xml:space="preserve">, D., &amp; Gulo, I. (2020). Interpersonal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markers in Jacinda Ardern speech at Christchurch memorial. </w:t>
      </w:r>
      <w:r w:rsidRPr="00D46190">
        <w:rPr>
          <w:rFonts w:ascii="Times New Roman" w:eastAsia="Times New Roman" w:hAnsi="Times New Roman" w:cs="Times New Roman"/>
          <w:i/>
          <w:iCs/>
          <w:kern w:val="0"/>
          <w14:ligatures w14:val="none"/>
        </w:rPr>
        <w:t>Linguistics and Literature Journal</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w:t>
      </w:r>
      <w:r w:rsidRPr="00D46190">
        <w:rPr>
          <w:rFonts w:ascii="Times New Roman" w:eastAsia="Times New Roman" w:hAnsi="Times New Roman" w:cs="Times New Roman"/>
          <w:kern w:val="0"/>
          <w14:ligatures w14:val="none"/>
        </w:rPr>
        <w:t xml:space="preserve">(2), 70–77. </w:t>
      </w:r>
    </w:p>
    <w:p w14:paraId="2BB2E22F"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Banna, J., Lin, M.-F. G., Stewart, M., &amp; Fialkowski, M. K. (2015). Interaction matters: Strategies to promote engaged learning in an online introductory nutrition course. </w:t>
      </w:r>
      <w:r w:rsidRPr="00D46190">
        <w:rPr>
          <w:rFonts w:ascii="Times New Roman" w:eastAsia="Times New Roman" w:hAnsi="Times New Roman" w:cs="Times New Roman"/>
          <w:i/>
          <w:iCs/>
          <w:kern w:val="0"/>
          <w14:ligatures w14:val="none"/>
        </w:rPr>
        <w:t>Journal of Online Learning and Teaching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11</w:t>
      </w:r>
      <w:r w:rsidRPr="00D46190">
        <w:rPr>
          <w:rFonts w:ascii="Times New Roman" w:eastAsia="Times New Roman" w:hAnsi="Times New Roman" w:cs="Times New Roman"/>
          <w:kern w:val="0"/>
          <w14:ligatures w14:val="none"/>
        </w:rPr>
        <w:t>(2), 249–261.</w:t>
      </w:r>
    </w:p>
    <w:p w14:paraId="089BE751" w14:textId="17F10D31"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Bernard, R. M., Abrami, P. C., </w:t>
      </w:r>
      <w:proofErr w:type="spellStart"/>
      <w:r w:rsidRPr="00D46190">
        <w:rPr>
          <w:rFonts w:ascii="Times New Roman" w:eastAsia="Times New Roman" w:hAnsi="Times New Roman" w:cs="Times New Roman"/>
          <w:kern w:val="0"/>
          <w14:ligatures w14:val="none"/>
        </w:rPr>
        <w:t>Borokhovski</w:t>
      </w:r>
      <w:proofErr w:type="spellEnd"/>
      <w:r w:rsidRPr="00D46190">
        <w:rPr>
          <w:rFonts w:ascii="Times New Roman" w:eastAsia="Times New Roman" w:hAnsi="Times New Roman" w:cs="Times New Roman"/>
          <w:kern w:val="0"/>
          <w14:ligatures w14:val="none"/>
        </w:rPr>
        <w:t xml:space="preserve">, E., Wade, A., Tamim, R., &amp; Persson, T. (2009). A meta-analysis of three interaction treatments in distance education. </w:t>
      </w:r>
      <w:r w:rsidRPr="00D46190">
        <w:rPr>
          <w:rFonts w:ascii="Times New Roman" w:eastAsia="Times New Roman" w:hAnsi="Times New Roman" w:cs="Times New Roman"/>
          <w:i/>
          <w:iCs/>
          <w:kern w:val="0"/>
          <w14:ligatures w14:val="none"/>
        </w:rPr>
        <w:t>Review of Educational Research</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79</w:t>
      </w:r>
      <w:r w:rsidRPr="00D46190">
        <w:rPr>
          <w:rFonts w:ascii="Times New Roman" w:eastAsia="Times New Roman" w:hAnsi="Times New Roman" w:cs="Times New Roman"/>
          <w:kern w:val="0"/>
          <w14:ligatures w14:val="none"/>
        </w:rPr>
        <w:t xml:space="preserve">(3), 1243–1289. </w:t>
      </w:r>
    </w:p>
    <w:p w14:paraId="6005B16A" w14:textId="668F0649"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lastRenderedPageBreak/>
        <w:t xml:space="preserve">Bond, M., &amp; </w:t>
      </w:r>
      <w:proofErr w:type="spellStart"/>
      <w:r w:rsidRPr="00D46190">
        <w:rPr>
          <w:rFonts w:ascii="Times New Roman" w:eastAsia="Times New Roman" w:hAnsi="Times New Roman" w:cs="Times New Roman"/>
          <w:kern w:val="0"/>
          <w14:ligatures w14:val="none"/>
        </w:rPr>
        <w:t>Bedenlier</w:t>
      </w:r>
      <w:proofErr w:type="spellEnd"/>
      <w:r w:rsidRPr="00D46190">
        <w:rPr>
          <w:rFonts w:ascii="Times New Roman" w:eastAsia="Times New Roman" w:hAnsi="Times New Roman" w:cs="Times New Roman"/>
          <w:kern w:val="0"/>
          <w14:ligatures w14:val="none"/>
        </w:rPr>
        <w:t xml:space="preserve">, S. (2019). Facilitating student engagement through educational technology: Towards a conceptual framework. </w:t>
      </w:r>
      <w:r w:rsidRPr="00D46190">
        <w:rPr>
          <w:rFonts w:ascii="Times New Roman" w:eastAsia="Times New Roman" w:hAnsi="Times New Roman" w:cs="Times New Roman"/>
          <w:i/>
          <w:iCs/>
          <w:kern w:val="0"/>
          <w14:ligatures w14:val="none"/>
        </w:rPr>
        <w:t>Journal of Interactive Media in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11</w:t>
      </w:r>
      <w:r w:rsidRPr="00D46190">
        <w:rPr>
          <w:rFonts w:ascii="Times New Roman" w:eastAsia="Times New Roman" w:hAnsi="Times New Roman" w:cs="Times New Roman"/>
          <w:kern w:val="0"/>
          <w14:ligatures w14:val="none"/>
        </w:rPr>
        <w:t xml:space="preserve">(1). </w:t>
      </w:r>
    </w:p>
    <w:p w14:paraId="5574290A" w14:textId="528C2C5E"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Bonwell, C. (1996). Building a supportive climate for active learning. </w:t>
      </w:r>
      <w:r w:rsidRPr="00D46190">
        <w:rPr>
          <w:rFonts w:ascii="Times New Roman" w:eastAsia="Times New Roman" w:hAnsi="Times New Roman" w:cs="Times New Roman"/>
          <w:i/>
          <w:iCs/>
          <w:kern w:val="0"/>
          <w14:ligatures w14:val="none"/>
        </w:rPr>
        <w:t>The National Teaching and Learning Forum</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6</w:t>
      </w:r>
      <w:r w:rsidRPr="00D46190">
        <w:rPr>
          <w:rFonts w:ascii="Times New Roman" w:eastAsia="Times New Roman" w:hAnsi="Times New Roman" w:cs="Times New Roman"/>
          <w:kern w:val="0"/>
          <w14:ligatures w14:val="none"/>
        </w:rPr>
        <w:t xml:space="preserve">(4), 4–7. </w:t>
      </w:r>
    </w:p>
    <w:p w14:paraId="6457564C" w14:textId="041C739E"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Brame, C. J. (2016). Effective educational videos: Principles and guidelines for maximizing student learning from video content. </w:t>
      </w:r>
      <w:r w:rsidRPr="00D46190">
        <w:rPr>
          <w:rFonts w:ascii="Times New Roman" w:eastAsia="Times New Roman" w:hAnsi="Times New Roman" w:cs="Times New Roman"/>
          <w:i/>
          <w:iCs/>
          <w:kern w:val="0"/>
          <w14:ligatures w14:val="none"/>
        </w:rPr>
        <w:t>CBE—Life Sciences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15</w:t>
      </w:r>
      <w:r w:rsidRPr="00D46190">
        <w:rPr>
          <w:rFonts w:ascii="Times New Roman" w:eastAsia="Times New Roman" w:hAnsi="Times New Roman" w:cs="Times New Roman"/>
          <w:kern w:val="0"/>
          <w14:ligatures w14:val="none"/>
        </w:rPr>
        <w:t xml:space="preserve">(4), es6. </w:t>
      </w:r>
    </w:p>
    <w:p w14:paraId="05969082"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Brooks, G., &amp; Wilson, J. (2015). Using oral presentations to improve students' English language skills. </w:t>
      </w:r>
      <w:r w:rsidRPr="00D46190">
        <w:rPr>
          <w:rFonts w:ascii="Times New Roman" w:eastAsia="Times New Roman" w:hAnsi="Times New Roman" w:cs="Times New Roman"/>
          <w:i/>
          <w:iCs/>
          <w:kern w:val="0"/>
          <w14:ligatures w14:val="none"/>
        </w:rPr>
        <w:t>Kwansei Gakuin University Humanities Review</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19</w:t>
      </w:r>
      <w:r w:rsidRPr="00D46190">
        <w:rPr>
          <w:rFonts w:ascii="Times New Roman" w:eastAsia="Times New Roman" w:hAnsi="Times New Roman" w:cs="Times New Roman"/>
          <w:kern w:val="0"/>
          <w14:ligatures w14:val="none"/>
        </w:rPr>
        <w:t>, 199–212.</w:t>
      </w:r>
    </w:p>
    <w:p w14:paraId="7C32781B" w14:textId="703A3552"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Chang, Y., &amp; Huang, H.-T. (2015). Exploring TED talks as a pedagogical resource for oral presentations: A corpus-based move analysis. </w:t>
      </w:r>
      <w:r w:rsidRPr="00D46190">
        <w:rPr>
          <w:rFonts w:ascii="Times New Roman" w:eastAsia="Times New Roman" w:hAnsi="Times New Roman" w:cs="Times New Roman"/>
          <w:i/>
          <w:iCs/>
          <w:kern w:val="0"/>
          <w14:ligatures w14:val="none"/>
        </w:rPr>
        <w:t>English Teaching and Learning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39</w:t>
      </w:r>
      <w:r w:rsidRPr="00D46190">
        <w:rPr>
          <w:rFonts w:ascii="Times New Roman" w:eastAsia="Times New Roman" w:hAnsi="Times New Roman" w:cs="Times New Roman"/>
          <w:kern w:val="0"/>
          <w14:ligatures w14:val="none"/>
        </w:rPr>
        <w:t xml:space="preserve">(4), 29–62. </w:t>
      </w:r>
    </w:p>
    <w:p w14:paraId="37369C72"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Cheng, X., &amp; Steffensen, M. S. (1996).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A technique for improving student writing. </w:t>
      </w:r>
      <w:r w:rsidRPr="00D46190">
        <w:rPr>
          <w:rFonts w:ascii="Times New Roman" w:eastAsia="Times New Roman" w:hAnsi="Times New Roman" w:cs="Times New Roman"/>
          <w:i/>
          <w:iCs/>
          <w:kern w:val="0"/>
          <w14:ligatures w14:val="none"/>
        </w:rPr>
        <w:t>Research in the Teaching of English</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30</w:t>
      </w:r>
      <w:r w:rsidRPr="00D46190">
        <w:rPr>
          <w:rFonts w:ascii="Times New Roman" w:eastAsia="Times New Roman" w:hAnsi="Times New Roman" w:cs="Times New Roman"/>
          <w:kern w:val="0"/>
          <w14:ligatures w14:val="none"/>
        </w:rPr>
        <w:t>(2), 149–181.</w:t>
      </w:r>
    </w:p>
    <w:p w14:paraId="451C85F9" w14:textId="661C8C2B"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Chi, M. T. H. (2009). Active-constructive-interactive: A conceptual framework for differentiating learning activities. </w:t>
      </w:r>
      <w:r w:rsidRPr="00D46190">
        <w:rPr>
          <w:rFonts w:ascii="Times New Roman" w:eastAsia="Times New Roman" w:hAnsi="Times New Roman" w:cs="Times New Roman"/>
          <w:i/>
          <w:iCs/>
          <w:kern w:val="0"/>
          <w14:ligatures w14:val="none"/>
        </w:rPr>
        <w:t>Topics in Cognitive Science</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w:t>
      </w:r>
      <w:r w:rsidRPr="00D46190">
        <w:rPr>
          <w:rFonts w:ascii="Times New Roman" w:eastAsia="Times New Roman" w:hAnsi="Times New Roman" w:cs="Times New Roman"/>
          <w:kern w:val="0"/>
          <w14:ligatures w14:val="none"/>
        </w:rPr>
        <w:t xml:space="preserve">(1), 73–105. </w:t>
      </w:r>
    </w:p>
    <w:p w14:paraId="724C8303" w14:textId="3CF6E0D8"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Chickering, A. W., &amp; Gamson, Z. F. (2006). Seven principles of good practice in undergraduate education. </w:t>
      </w:r>
      <w:r w:rsidRPr="00D46190">
        <w:rPr>
          <w:rFonts w:ascii="Times New Roman" w:eastAsia="Times New Roman" w:hAnsi="Times New Roman" w:cs="Times New Roman"/>
          <w:i/>
          <w:iCs/>
          <w:kern w:val="0"/>
          <w14:ligatures w14:val="none"/>
        </w:rPr>
        <w:t>New Directions for Teaching and Learning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1991</w:t>
      </w:r>
      <w:r w:rsidRPr="00D46190">
        <w:rPr>
          <w:rFonts w:ascii="Times New Roman" w:eastAsia="Times New Roman" w:hAnsi="Times New Roman" w:cs="Times New Roman"/>
          <w:kern w:val="0"/>
          <w14:ligatures w14:val="none"/>
        </w:rPr>
        <w:t xml:space="preserve">(47), 63–69. </w:t>
      </w:r>
    </w:p>
    <w:p w14:paraId="7C4AF6F5"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Christensen, J. P. (2002). Understanding and conducting a successful presentation assignment. </w:t>
      </w:r>
      <w:r w:rsidRPr="00D46190">
        <w:rPr>
          <w:rFonts w:ascii="Times New Roman" w:eastAsia="Times New Roman" w:hAnsi="Times New Roman" w:cs="Times New Roman"/>
          <w:i/>
          <w:iCs/>
          <w:kern w:val="0"/>
          <w14:ligatures w14:val="none"/>
        </w:rPr>
        <w:t>Guidelines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24</w:t>
      </w:r>
      <w:r w:rsidRPr="00D46190">
        <w:rPr>
          <w:rFonts w:ascii="Times New Roman" w:eastAsia="Times New Roman" w:hAnsi="Times New Roman" w:cs="Times New Roman"/>
          <w:kern w:val="0"/>
          <w14:ligatures w14:val="none"/>
        </w:rPr>
        <w:t>(2), 23–28.</w:t>
      </w:r>
    </w:p>
    <w:p w14:paraId="62F1125B"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Coughter</w:t>
      </w:r>
      <w:proofErr w:type="spellEnd"/>
      <w:r w:rsidRPr="00D46190">
        <w:rPr>
          <w:rFonts w:ascii="Times New Roman" w:eastAsia="Times New Roman" w:hAnsi="Times New Roman" w:cs="Times New Roman"/>
          <w:kern w:val="0"/>
          <w14:ligatures w14:val="none"/>
        </w:rPr>
        <w:t xml:space="preserve">, P. (2012). </w:t>
      </w:r>
      <w:r w:rsidRPr="00D46190">
        <w:rPr>
          <w:rFonts w:ascii="Times New Roman" w:eastAsia="Times New Roman" w:hAnsi="Times New Roman" w:cs="Times New Roman"/>
          <w:i/>
          <w:iCs/>
          <w:kern w:val="0"/>
          <w14:ligatures w14:val="none"/>
        </w:rPr>
        <w:t>The art of the pitch</w:t>
      </w:r>
      <w:r w:rsidRPr="00D46190">
        <w:rPr>
          <w:rFonts w:ascii="Times New Roman" w:eastAsia="Times New Roman" w:hAnsi="Times New Roman" w:cs="Times New Roman"/>
          <w:kern w:val="0"/>
          <w14:ligatures w14:val="none"/>
        </w:rPr>
        <w:t>. Palgrave Macmillan.</w:t>
      </w:r>
    </w:p>
    <w:p w14:paraId="555A28EA" w14:textId="3036AF7B"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Dallimore, E. J., Hertenstein, J. H., &amp; Platt, M. B. (2004). Classroom participation and discussion effectiveness: Student-generated strategies. </w:t>
      </w:r>
      <w:r w:rsidRPr="00D46190">
        <w:rPr>
          <w:rFonts w:ascii="Times New Roman" w:eastAsia="Times New Roman" w:hAnsi="Times New Roman" w:cs="Times New Roman"/>
          <w:i/>
          <w:iCs/>
          <w:kern w:val="0"/>
          <w14:ligatures w14:val="none"/>
        </w:rPr>
        <w:t>Communication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53</w:t>
      </w:r>
      <w:r w:rsidRPr="00D46190">
        <w:rPr>
          <w:rFonts w:ascii="Times New Roman" w:eastAsia="Times New Roman" w:hAnsi="Times New Roman" w:cs="Times New Roman"/>
          <w:kern w:val="0"/>
          <w14:ligatures w14:val="none"/>
        </w:rPr>
        <w:t xml:space="preserve">(1), 1–15. </w:t>
      </w:r>
    </w:p>
    <w:p w14:paraId="7EE07C82" w14:textId="091971FD"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Dewi, M. D., &amp; Izzati, N. (2020). </w:t>
      </w:r>
      <w:proofErr w:type="spellStart"/>
      <w:r w:rsidRPr="00D46190">
        <w:rPr>
          <w:rFonts w:ascii="Times New Roman" w:eastAsia="Times New Roman" w:hAnsi="Times New Roman" w:cs="Times New Roman"/>
          <w:kern w:val="0"/>
          <w14:ligatures w14:val="none"/>
        </w:rPr>
        <w:t>Pengembangan</w:t>
      </w:r>
      <w:proofErr w:type="spellEnd"/>
      <w:r w:rsidRPr="00D46190">
        <w:rPr>
          <w:rFonts w:ascii="Times New Roman" w:eastAsia="Times New Roman" w:hAnsi="Times New Roman" w:cs="Times New Roman"/>
          <w:kern w:val="0"/>
          <w14:ligatures w14:val="none"/>
        </w:rPr>
        <w:t xml:space="preserve"> Media </w:t>
      </w:r>
      <w:proofErr w:type="spellStart"/>
      <w:r w:rsidRPr="00D46190">
        <w:rPr>
          <w:rFonts w:ascii="Times New Roman" w:eastAsia="Times New Roman" w:hAnsi="Times New Roman" w:cs="Times New Roman"/>
          <w:kern w:val="0"/>
          <w14:ligatures w14:val="none"/>
        </w:rPr>
        <w:t>Pembelajaran</w:t>
      </w:r>
      <w:proofErr w:type="spellEnd"/>
      <w:r w:rsidRPr="00D46190">
        <w:rPr>
          <w:rFonts w:ascii="Times New Roman" w:eastAsia="Times New Roman" w:hAnsi="Times New Roman" w:cs="Times New Roman"/>
          <w:kern w:val="0"/>
          <w14:ligatures w14:val="none"/>
        </w:rPr>
        <w:t xml:space="preserve"> PowerPoint </w:t>
      </w:r>
      <w:proofErr w:type="spellStart"/>
      <w:r w:rsidRPr="00D46190">
        <w:rPr>
          <w:rFonts w:ascii="Times New Roman" w:eastAsia="Times New Roman" w:hAnsi="Times New Roman" w:cs="Times New Roman"/>
          <w:kern w:val="0"/>
          <w14:ligatures w14:val="none"/>
        </w:rPr>
        <w:t>Interaktif</w:t>
      </w:r>
      <w:proofErr w:type="spellEnd"/>
      <w:r w:rsidRPr="00D46190">
        <w:rPr>
          <w:rFonts w:ascii="Times New Roman" w:eastAsia="Times New Roman" w:hAnsi="Times New Roman" w:cs="Times New Roman"/>
          <w:kern w:val="0"/>
          <w14:ligatures w14:val="none"/>
        </w:rPr>
        <w:t xml:space="preserve"> </w:t>
      </w:r>
      <w:proofErr w:type="spellStart"/>
      <w:r w:rsidRPr="00D46190">
        <w:rPr>
          <w:rFonts w:ascii="Times New Roman" w:eastAsia="Times New Roman" w:hAnsi="Times New Roman" w:cs="Times New Roman"/>
          <w:kern w:val="0"/>
          <w14:ligatures w14:val="none"/>
        </w:rPr>
        <w:t>Berbasis</w:t>
      </w:r>
      <w:proofErr w:type="spellEnd"/>
      <w:r w:rsidRPr="00D46190">
        <w:rPr>
          <w:rFonts w:ascii="Times New Roman" w:eastAsia="Times New Roman" w:hAnsi="Times New Roman" w:cs="Times New Roman"/>
          <w:kern w:val="0"/>
          <w14:ligatures w14:val="none"/>
        </w:rPr>
        <w:t xml:space="preserve"> RME Materi </w:t>
      </w:r>
      <w:proofErr w:type="spellStart"/>
      <w:r w:rsidRPr="00D46190">
        <w:rPr>
          <w:rFonts w:ascii="Times New Roman" w:eastAsia="Times New Roman" w:hAnsi="Times New Roman" w:cs="Times New Roman"/>
          <w:kern w:val="0"/>
          <w14:ligatures w14:val="none"/>
        </w:rPr>
        <w:t>Aljabar</w:t>
      </w:r>
      <w:proofErr w:type="spellEnd"/>
      <w:r w:rsidRPr="00D46190">
        <w:rPr>
          <w:rFonts w:ascii="Times New Roman" w:eastAsia="Times New Roman" w:hAnsi="Times New Roman" w:cs="Times New Roman"/>
          <w:kern w:val="0"/>
          <w14:ligatures w14:val="none"/>
        </w:rPr>
        <w:t xml:space="preserve"> </w:t>
      </w:r>
      <w:proofErr w:type="spellStart"/>
      <w:r w:rsidRPr="00D46190">
        <w:rPr>
          <w:rFonts w:ascii="Times New Roman" w:eastAsia="Times New Roman" w:hAnsi="Times New Roman" w:cs="Times New Roman"/>
          <w:kern w:val="0"/>
          <w14:ligatures w14:val="none"/>
        </w:rPr>
        <w:t>Kelas</w:t>
      </w:r>
      <w:proofErr w:type="spellEnd"/>
      <w:r w:rsidRPr="00D46190">
        <w:rPr>
          <w:rFonts w:ascii="Times New Roman" w:eastAsia="Times New Roman" w:hAnsi="Times New Roman" w:cs="Times New Roman"/>
          <w:kern w:val="0"/>
          <w14:ligatures w14:val="none"/>
        </w:rPr>
        <w:t xml:space="preserve"> VII SMP. </w:t>
      </w:r>
      <w:r w:rsidRPr="00D46190">
        <w:rPr>
          <w:rFonts w:ascii="Times New Roman" w:eastAsia="Times New Roman" w:hAnsi="Times New Roman" w:cs="Times New Roman"/>
          <w:i/>
          <w:iCs/>
          <w:kern w:val="0"/>
          <w14:ligatures w14:val="none"/>
        </w:rPr>
        <w:t xml:space="preserve">Delta: </w:t>
      </w:r>
      <w:proofErr w:type="spellStart"/>
      <w:r w:rsidRPr="00D46190">
        <w:rPr>
          <w:rFonts w:ascii="Times New Roman" w:eastAsia="Times New Roman" w:hAnsi="Times New Roman" w:cs="Times New Roman"/>
          <w:i/>
          <w:iCs/>
          <w:kern w:val="0"/>
          <w14:ligatures w14:val="none"/>
        </w:rPr>
        <w:t>Jurnal</w:t>
      </w:r>
      <w:proofErr w:type="spellEnd"/>
      <w:r w:rsidRPr="00D46190">
        <w:rPr>
          <w:rFonts w:ascii="Times New Roman" w:eastAsia="Times New Roman" w:hAnsi="Times New Roman" w:cs="Times New Roman"/>
          <w:i/>
          <w:iCs/>
          <w:kern w:val="0"/>
          <w14:ligatures w14:val="none"/>
        </w:rPr>
        <w:t xml:space="preserve"> </w:t>
      </w:r>
      <w:proofErr w:type="spellStart"/>
      <w:r w:rsidRPr="00D46190">
        <w:rPr>
          <w:rFonts w:ascii="Times New Roman" w:eastAsia="Times New Roman" w:hAnsi="Times New Roman" w:cs="Times New Roman"/>
          <w:i/>
          <w:iCs/>
          <w:kern w:val="0"/>
          <w14:ligatures w14:val="none"/>
        </w:rPr>
        <w:t>Ilmiah</w:t>
      </w:r>
      <w:proofErr w:type="spellEnd"/>
      <w:r w:rsidRPr="00D46190">
        <w:rPr>
          <w:rFonts w:ascii="Times New Roman" w:eastAsia="Times New Roman" w:hAnsi="Times New Roman" w:cs="Times New Roman"/>
          <w:i/>
          <w:iCs/>
          <w:kern w:val="0"/>
          <w14:ligatures w14:val="none"/>
        </w:rPr>
        <w:t xml:space="preserve"> Pendidikan </w:t>
      </w:r>
      <w:proofErr w:type="spellStart"/>
      <w:r w:rsidRPr="00D46190">
        <w:rPr>
          <w:rFonts w:ascii="Times New Roman" w:eastAsia="Times New Roman" w:hAnsi="Times New Roman" w:cs="Times New Roman"/>
          <w:i/>
          <w:iCs/>
          <w:kern w:val="0"/>
          <w14:ligatures w14:val="none"/>
        </w:rPr>
        <w:t>Matematika</w:t>
      </w:r>
      <w:proofErr w:type="spellEnd"/>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8</w:t>
      </w:r>
      <w:r w:rsidRPr="00D46190">
        <w:rPr>
          <w:rFonts w:ascii="Times New Roman" w:eastAsia="Times New Roman" w:hAnsi="Times New Roman" w:cs="Times New Roman"/>
          <w:kern w:val="0"/>
          <w14:ligatures w14:val="none"/>
        </w:rPr>
        <w:t xml:space="preserve">(2), 217–227. </w:t>
      </w:r>
    </w:p>
    <w:p w14:paraId="05158FD3" w14:textId="72963FC6"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Dumlao, R. P. (2020). Language socialization through an oral academic presentation in an EFL environment: A qualitative study. </w:t>
      </w:r>
      <w:r w:rsidRPr="00D46190">
        <w:rPr>
          <w:rFonts w:ascii="Times New Roman" w:eastAsia="Times New Roman" w:hAnsi="Times New Roman" w:cs="Times New Roman"/>
          <w:i/>
          <w:iCs/>
          <w:kern w:val="0"/>
          <w14:ligatures w14:val="none"/>
        </w:rPr>
        <w:t>The Qualitative Report</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25</w:t>
      </w:r>
      <w:r w:rsidRPr="00D46190">
        <w:rPr>
          <w:rFonts w:ascii="Times New Roman" w:eastAsia="Times New Roman" w:hAnsi="Times New Roman" w:cs="Times New Roman"/>
          <w:kern w:val="0"/>
          <w14:ligatures w14:val="none"/>
        </w:rPr>
        <w:t xml:space="preserve">(2), 416–440. </w:t>
      </w:r>
    </w:p>
    <w:p w14:paraId="273B4A3A"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Ekmekçi, E. (2018). Exploring Turkish EFL students’ writing anxiety. </w:t>
      </w:r>
      <w:r w:rsidRPr="00D46190">
        <w:rPr>
          <w:rFonts w:ascii="Times New Roman" w:eastAsia="Times New Roman" w:hAnsi="Times New Roman" w:cs="Times New Roman"/>
          <w:i/>
          <w:iCs/>
          <w:kern w:val="0"/>
          <w14:ligatures w14:val="none"/>
        </w:rPr>
        <w:t>The Reading Matrix: An International Online Journal</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18</w:t>
      </w:r>
      <w:r w:rsidRPr="00D46190">
        <w:rPr>
          <w:rFonts w:ascii="Times New Roman" w:eastAsia="Times New Roman" w:hAnsi="Times New Roman" w:cs="Times New Roman"/>
          <w:kern w:val="0"/>
          <w14:ligatures w14:val="none"/>
        </w:rPr>
        <w:t>(1), 158–175.</w:t>
      </w:r>
    </w:p>
    <w:p w14:paraId="289B4BDE"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Fallows, S., &amp; Steven, C. (2000). Building employability skills into the higher education curriculum: A university-wide initiative. </w:t>
      </w:r>
      <w:r w:rsidRPr="00D46190">
        <w:rPr>
          <w:rFonts w:ascii="Times New Roman" w:eastAsia="Times New Roman" w:hAnsi="Times New Roman" w:cs="Times New Roman"/>
          <w:i/>
          <w:iCs/>
          <w:kern w:val="0"/>
          <w14:ligatures w14:val="none"/>
        </w:rPr>
        <w:t>Education + Training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42</w:t>
      </w:r>
      <w:r w:rsidRPr="00D46190">
        <w:rPr>
          <w:rFonts w:ascii="Times New Roman" w:eastAsia="Times New Roman" w:hAnsi="Times New Roman" w:cs="Times New Roman"/>
          <w:kern w:val="0"/>
          <w14:ligatures w14:val="none"/>
        </w:rPr>
        <w:t>(2), 75–83.</w:t>
      </w:r>
    </w:p>
    <w:p w14:paraId="68BA5159"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Farag, H., &amp; Mallin, C. (2017). Board diversity and financial fragility: Evidence from European banks. </w:t>
      </w:r>
      <w:r w:rsidRPr="00D46190">
        <w:rPr>
          <w:rFonts w:ascii="Times New Roman" w:eastAsia="Times New Roman" w:hAnsi="Times New Roman" w:cs="Times New Roman"/>
          <w:i/>
          <w:iCs/>
          <w:kern w:val="0"/>
          <w14:ligatures w14:val="none"/>
        </w:rPr>
        <w:t>International Review of Financial Analysis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49</w:t>
      </w:r>
      <w:r w:rsidRPr="00D46190">
        <w:rPr>
          <w:rFonts w:ascii="Times New Roman" w:eastAsia="Times New Roman" w:hAnsi="Times New Roman" w:cs="Times New Roman"/>
          <w:kern w:val="0"/>
          <w14:ligatures w14:val="none"/>
        </w:rPr>
        <w:t>, 98–112.</w:t>
      </w:r>
    </w:p>
    <w:p w14:paraId="4ECFAB08" w14:textId="76C7442C"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Finn, A. N., &amp; Schrodt, P. (2016). Teacher discussion facilitation: A new measure and its associations with </w:t>
      </w:r>
      <w:proofErr w:type="gramStart"/>
      <w:r w:rsidRPr="00D46190">
        <w:rPr>
          <w:rFonts w:ascii="Times New Roman" w:eastAsia="Times New Roman" w:hAnsi="Times New Roman" w:cs="Times New Roman"/>
          <w:kern w:val="0"/>
          <w14:ligatures w14:val="none"/>
        </w:rPr>
        <w:t>students’</w:t>
      </w:r>
      <w:proofErr w:type="gramEnd"/>
      <w:r w:rsidRPr="00D46190">
        <w:rPr>
          <w:rFonts w:ascii="Times New Roman" w:eastAsia="Times New Roman" w:hAnsi="Times New Roman" w:cs="Times New Roman"/>
          <w:kern w:val="0"/>
          <w14:ligatures w14:val="none"/>
        </w:rPr>
        <w:t xml:space="preserve"> perceived understanding, interest, and engagement. </w:t>
      </w:r>
      <w:r w:rsidRPr="00D46190">
        <w:rPr>
          <w:rFonts w:ascii="Times New Roman" w:eastAsia="Times New Roman" w:hAnsi="Times New Roman" w:cs="Times New Roman"/>
          <w:i/>
          <w:iCs/>
          <w:kern w:val="0"/>
          <w14:ligatures w14:val="none"/>
        </w:rPr>
        <w:t>Communication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65</w:t>
      </w:r>
      <w:r w:rsidRPr="00D46190">
        <w:rPr>
          <w:rFonts w:ascii="Times New Roman" w:eastAsia="Times New Roman" w:hAnsi="Times New Roman" w:cs="Times New Roman"/>
          <w:kern w:val="0"/>
          <w14:ligatures w14:val="none"/>
        </w:rPr>
        <w:t xml:space="preserve">(4), 405–422. </w:t>
      </w:r>
    </w:p>
    <w:p w14:paraId="0FE13ABC"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Fraleigh, D. M., &amp; Tuman, J. S. (2019). </w:t>
      </w:r>
      <w:r w:rsidRPr="00D46190">
        <w:rPr>
          <w:rFonts w:ascii="Times New Roman" w:eastAsia="Times New Roman" w:hAnsi="Times New Roman" w:cs="Times New Roman"/>
          <w:i/>
          <w:iCs/>
          <w:kern w:val="0"/>
          <w14:ligatures w14:val="none"/>
        </w:rPr>
        <w:t>Speak up! An illustrated guide to public speaking</w:t>
      </w:r>
      <w:r w:rsidRPr="00D46190">
        <w:rPr>
          <w:rFonts w:ascii="Times New Roman" w:eastAsia="Times New Roman" w:hAnsi="Times New Roman" w:cs="Times New Roman"/>
          <w:kern w:val="0"/>
          <w14:ligatures w14:val="none"/>
        </w:rPr>
        <w:t xml:space="preserve"> (5th ed.). Bedford/St. Martin’s.</w:t>
      </w:r>
    </w:p>
    <w:p w14:paraId="4E96F631"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Gamble, T. K., &amp; Gamble, M. W. (2020). </w:t>
      </w:r>
      <w:r w:rsidRPr="00D46190">
        <w:rPr>
          <w:rFonts w:ascii="Times New Roman" w:eastAsia="Times New Roman" w:hAnsi="Times New Roman" w:cs="Times New Roman"/>
          <w:i/>
          <w:iCs/>
          <w:kern w:val="0"/>
          <w14:ligatures w14:val="none"/>
        </w:rPr>
        <w:t>The public speaking playbook</w:t>
      </w:r>
      <w:r w:rsidRPr="00D46190">
        <w:rPr>
          <w:rFonts w:ascii="Times New Roman" w:eastAsia="Times New Roman" w:hAnsi="Times New Roman" w:cs="Times New Roman"/>
          <w:kern w:val="0"/>
          <w14:ligatures w14:val="none"/>
        </w:rPr>
        <w:t xml:space="preserve"> (3rd ed.). Sage.</w:t>
      </w:r>
    </w:p>
    <w:p w14:paraId="106FA2F9" w14:textId="6A5C6CCF"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Genidal</w:t>
      </w:r>
      <w:proofErr w:type="spellEnd"/>
      <w:r w:rsidRPr="00D46190">
        <w:rPr>
          <w:rFonts w:ascii="Times New Roman" w:eastAsia="Times New Roman" w:hAnsi="Times New Roman" w:cs="Times New Roman"/>
          <w:kern w:val="0"/>
          <w14:ligatures w14:val="none"/>
        </w:rPr>
        <w:t xml:space="preserve"> Riadil, I. (2020). A study of students' perception: Identifying EFL learners' problems in speaking skill. </w:t>
      </w:r>
      <w:r w:rsidRPr="00D46190">
        <w:rPr>
          <w:rFonts w:ascii="Times New Roman" w:eastAsia="Times New Roman" w:hAnsi="Times New Roman" w:cs="Times New Roman"/>
          <w:i/>
          <w:iCs/>
          <w:kern w:val="0"/>
          <w14:ligatures w14:val="none"/>
        </w:rPr>
        <w:t>International Journal of Education, Language, and Religion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2</w:t>
      </w:r>
      <w:r w:rsidRPr="00D46190">
        <w:rPr>
          <w:rFonts w:ascii="Times New Roman" w:eastAsia="Times New Roman" w:hAnsi="Times New Roman" w:cs="Times New Roman"/>
          <w:kern w:val="0"/>
          <w14:ligatures w14:val="none"/>
        </w:rPr>
        <w:t xml:space="preserve">(1), 31–38. </w:t>
      </w:r>
    </w:p>
    <w:p w14:paraId="25CBF6E3"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Grabe, W. (1987). Contrastive rhetoric and text-type research. In U. Connor &amp; R. Kaplan (Eds.), </w:t>
      </w:r>
      <w:r w:rsidRPr="00D46190">
        <w:rPr>
          <w:rFonts w:ascii="Times New Roman" w:eastAsia="Times New Roman" w:hAnsi="Times New Roman" w:cs="Times New Roman"/>
          <w:i/>
          <w:iCs/>
          <w:kern w:val="0"/>
          <w14:ligatures w14:val="none"/>
        </w:rPr>
        <w:t>Writing across languages: Analysis of L2-text reading</w:t>
      </w:r>
      <w:r w:rsidRPr="00D46190">
        <w:rPr>
          <w:rFonts w:ascii="Times New Roman" w:eastAsia="Times New Roman" w:hAnsi="Times New Roman" w:cs="Times New Roman"/>
          <w:kern w:val="0"/>
          <w14:ligatures w14:val="none"/>
        </w:rPr>
        <w:t xml:space="preserve"> (pp. 115–137). Addison-Wesley.</w:t>
      </w:r>
    </w:p>
    <w:p w14:paraId="1CCB206F" w14:textId="558F394E"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Grand Valley State University Speech Lab. (2025, June 23). </w:t>
      </w:r>
      <w:r w:rsidRPr="00D46190">
        <w:rPr>
          <w:rFonts w:ascii="Times New Roman" w:eastAsia="Times New Roman" w:hAnsi="Times New Roman" w:cs="Times New Roman"/>
          <w:i/>
          <w:iCs/>
          <w:kern w:val="0"/>
          <w14:ligatures w14:val="none"/>
        </w:rPr>
        <w:t>Monroe's motivated sequence</w:t>
      </w:r>
      <w:r w:rsidRPr="00D46190">
        <w:rPr>
          <w:rFonts w:ascii="Times New Roman" w:eastAsia="Times New Roman" w:hAnsi="Times New Roman" w:cs="Times New Roman"/>
          <w:kern w:val="0"/>
          <w14:ligatures w14:val="none"/>
        </w:rPr>
        <w:t xml:space="preserve">. </w:t>
      </w:r>
    </w:p>
    <w:p w14:paraId="37A7FE1E" w14:textId="0ECD0599"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Grieve, R., Woodley, J., Hunt, S. E., &amp; McKay, A. (2021). Student fears of oral presentations and public speaking in higher education: A qualitative survey. </w:t>
      </w:r>
      <w:r w:rsidRPr="00D46190">
        <w:rPr>
          <w:rFonts w:ascii="Times New Roman" w:eastAsia="Times New Roman" w:hAnsi="Times New Roman" w:cs="Times New Roman"/>
          <w:i/>
          <w:iCs/>
          <w:kern w:val="0"/>
          <w14:ligatures w14:val="none"/>
        </w:rPr>
        <w:t>Journal of Further and Higher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45</w:t>
      </w:r>
      <w:r w:rsidRPr="00D46190">
        <w:rPr>
          <w:rFonts w:ascii="Times New Roman" w:eastAsia="Times New Roman" w:hAnsi="Times New Roman" w:cs="Times New Roman"/>
          <w:kern w:val="0"/>
          <w14:ligatures w14:val="none"/>
        </w:rPr>
        <w:t xml:space="preserve">(9), 1281–1293. </w:t>
      </w:r>
    </w:p>
    <w:p w14:paraId="42CC9CCA"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lastRenderedPageBreak/>
        <w:t xml:space="preserve">Halliday, M. A. K. (1978). </w:t>
      </w:r>
      <w:r w:rsidRPr="00D46190">
        <w:rPr>
          <w:rFonts w:ascii="Times New Roman" w:eastAsia="Times New Roman" w:hAnsi="Times New Roman" w:cs="Times New Roman"/>
          <w:i/>
          <w:iCs/>
          <w:kern w:val="0"/>
          <w14:ligatures w14:val="none"/>
        </w:rPr>
        <w:t>Language as social semiotic: The social interpretation of language and meaning</w:t>
      </w:r>
      <w:r w:rsidRPr="00D46190">
        <w:rPr>
          <w:rFonts w:ascii="Times New Roman" w:eastAsia="Times New Roman" w:hAnsi="Times New Roman" w:cs="Times New Roman"/>
          <w:kern w:val="0"/>
          <w14:ligatures w14:val="none"/>
        </w:rPr>
        <w:t>. Edward Arnold.</w:t>
      </w:r>
    </w:p>
    <w:p w14:paraId="3EA7CDB2"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Halliday, M. A. K. (1985). </w:t>
      </w:r>
      <w:r w:rsidRPr="00D46190">
        <w:rPr>
          <w:rFonts w:ascii="Times New Roman" w:eastAsia="Times New Roman" w:hAnsi="Times New Roman" w:cs="Times New Roman"/>
          <w:i/>
          <w:iCs/>
          <w:kern w:val="0"/>
          <w14:ligatures w14:val="none"/>
        </w:rPr>
        <w:t>An introduction to functional grammar</w:t>
      </w:r>
      <w:r w:rsidRPr="00D46190">
        <w:rPr>
          <w:rFonts w:ascii="Times New Roman" w:eastAsia="Times New Roman" w:hAnsi="Times New Roman" w:cs="Times New Roman"/>
          <w:kern w:val="0"/>
          <w14:ligatures w14:val="none"/>
        </w:rPr>
        <w:t xml:space="preserve"> (1st ed.). Edward Arnold.</w:t>
      </w:r>
    </w:p>
    <w:p w14:paraId="468AF71C" w14:textId="6C8A402E"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Ho, L. T. H., Nguyen, L. M., Dang, N. A. N., &amp; Nguyễn, H. T. H. (2023). Understanding student attitudes toward delivering English oral presentations. </w:t>
      </w:r>
      <w:r w:rsidRPr="00D46190">
        <w:rPr>
          <w:rFonts w:ascii="Times New Roman" w:eastAsia="Times New Roman" w:hAnsi="Times New Roman" w:cs="Times New Roman"/>
          <w:i/>
          <w:iCs/>
          <w:kern w:val="0"/>
          <w14:ligatures w14:val="none"/>
        </w:rPr>
        <w:t>International Journal of Learning, Teaching and Educational Research</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22</w:t>
      </w:r>
      <w:r w:rsidRPr="00D46190">
        <w:rPr>
          <w:rFonts w:ascii="Times New Roman" w:eastAsia="Times New Roman" w:hAnsi="Times New Roman" w:cs="Times New Roman"/>
          <w:kern w:val="0"/>
          <w14:ligatures w14:val="none"/>
        </w:rPr>
        <w:t>(3), 256–277</w:t>
      </w:r>
    </w:p>
    <w:p w14:paraId="5C36D805"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Hyland, K. (1998). </w:t>
      </w:r>
      <w:r w:rsidRPr="00D46190">
        <w:rPr>
          <w:rFonts w:ascii="Times New Roman" w:eastAsia="Times New Roman" w:hAnsi="Times New Roman" w:cs="Times New Roman"/>
          <w:i/>
          <w:iCs/>
          <w:kern w:val="0"/>
          <w14:ligatures w14:val="none"/>
        </w:rPr>
        <w:t>Hedging in scientific research articles</w:t>
      </w:r>
      <w:r w:rsidRPr="00D46190">
        <w:rPr>
          <w:rFonts w:ascii="Times New Roman" w:eastAsia="Times New Roman" w:hAnsi="Times New Roman" w:cs="Times New Roman"/>
          <w:kern w:val="0"/>
          <w14:ligatures w14:val="none"/>
        </w:rPr>
        <w:t>. John Benjamins.</w:t>
      </w:r>
    </w:p>
    <w:p w14:paraId="3F0A1268"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Hyland, K. (2005a). </w:t>
      </w:r>
      <w:proofErr w:type="spellStart"/>
      <w:r w:rsidRPr="00D46190">
        <w:rPr>
          <w:rFonts w:ascii="Times New Roman" w:eastAsia="Times New Roman" w:hAnsi="Times New Roman" w:cs="Times New Roman"/>
          <w:i/>
          <w:iCs/>
          <w:kern w:val="0"/>
          <w14:ligatures w14:val="none"/>
        </w:rPr>
        <w:t>Metadiscourse</w:t>
      </w:r>
      <w:proofErr w:type="spellEnd"/>
      <w:r w:rsidRPr="00D46190">
        <w:rPr>
          <w:rFonts w:ascii="Times New Roman" w:eastAsia="Times New Roman" w:hAnsi="Times New Roman" w:cs="Times New Roman"/>
          <w:i/>
          <w:iCs/>
          <w:kern w:val="0"/>
          <w14:ligatures w14:val="none"/>
        </w:rPr>
        <w:t>: Exploring interaction in writing</w:t>
      </w:r>
      <w:r w:rsidRPr="00D46190">
        <w:rPr>
          <w:rFonts w:ascii="Times New Roman" w:eastAsia="Times New Roman" w:hAnsi="Times New Roman" w:cs="Times New Roman"/>
          <w:kern w:val="0"/>
          <w14:ligatures w14:val="none"/>
        </w:rPr>
        <w:t>. Continuum.</w:t>
      </w:r>
    </w:p>
    <w:p w14:paraId="0070EA6A" w14:textId="481519C4"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Hyland, K. (2005b). Stance and engagement: A model of interaction in academic discourse. </w:t>
      </w:r>
      <w:r w:rsidRPr="00D46190">
        <w:rPr>
          <w:rFonts w:ascii="Times New Roman" w:eastAsia="Times New Roman" w:hAnsi="Times New Roman" w:cs="Times New Roman"/>
          <w:i/>
          <w:iCs/>
          <w:kern w:val="0"/>
          <w14:ligatures w14:val="none"/>
        </w:rPr>
        <w:t>Discourse Studies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7</w:t>
      </w:r>
      <w:r w:rsidRPr="00D46190">
        <w:rPr>
          <w:rFonts w:ascii="Times New Roman" w:eastAsia="Times New Roman" w:hAnsi="Times New Roman" w:cs="Times New Roman"/>
          <w:kern w:val="0"/>
          <w14:ligatures w14:val="none"/>
        </w:rPr>
        <w:t xml:space="preserve">(2), 173–192. </w:t>
      </w:r>
    </w:p>
    <w:p w14:paraId="06DD94B1"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Hyland, K. (2017).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What is it and where is it going? </w:t>
      </w:r>
      <w:r w:rsidRPr="00D46190">
        <w:rPr>
          <w:rFonts w:ascii="Times New Roman" w:eastAsia="Times New Roman" w:hAnsi="Times New Roman" w:cs="Times New Roman"/>
          <w:i/>
          <w:iCs/>
          <w:kern w:val="0"/>
          <w14:ligatures w14:val="none"/>
        </w:rPr>
        <w:t>Journal of Pragmatics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113</w:t>
      </w:r>
      <w:r w:rsidRPr="00D46190">
        <w:rPr>
          <w:rFonts w:ascii="Times New Roman" w:eastAsia="Times New Roman" w:hAnsi="Times New Roman" w:cs="Times New Roman"/>
          <w:kern w:val="0"/>
          <w14:ligatures w14:val="none"/>
        </w:rPr>
        <w:t>, 16–29.</w:t>
      </w:r>
    </w:p>
    <w:p w14:paraId="7D9DF5E8"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Jang, E. E., &amp; Wagner, M. (2013). Diagnostic feedback in language classroom. In A. </w:t>
      </w:r>
      <w:proofErr w:type="spellStart"/>
      <w:r w:rsidRPr="00D46190">
        <w:rPr>
          <w:rFonts w:ascii="Times New Roman" w:eastAsia="Times New Roman" w:hAnsi="Times New Roman" w:cs="Times New Roman"/>
          <w:kern w:val="0"/>
          <w14:ligatures w14:val="none"/>
        </w:rPr>
        <w:t>Kunnan</w:t>
      </w:r>
      <w:proofErr w:type="spellEnd"/>
      <w:r w:rsidRPr="00D46190">
        <w:rPr>
          <w:rFonts w:ascii="Times New Roman" w:eastAsia="Times New Roman" w:hAnsi="Times New Roman" w:cs="Times New Roman"/>
          <w:kern w:val="0"/>
          <w14:ligatures w14:val="none"/>
        </w:rPr>
        <w:t xml:space="preserve"> (Ed.), </w:t>
      </w:r>
      <w:r w:rsidRPr="00D46190">
        <w:rPr>
          <w:rFonts w:ascii="Times New Roman" w:eastAsia="Times New Roman" w:hAnsi="Times New Roman" w:cs="Times New Roman"/>
          <w:i/>
          <w:iCs/>
          <w:kern w:val="0"/>
          <w14:ligatures w14:val="none"/>
        </w:rPr>
        <w:t>Companion to language assessment</w:t>
      </w:r>
      <w:r w:rsidRPr="00D46190">
        <w:rPr>
          <w:rFonts w:ascii="Times New Roman" w:eastAsia="Times New Roman" w:hAnsi="Times New Roman" w:cs="Times New Roman"/>
          <w:kern w:val="0"/>
          <w14:ligatures w14:val="none"/>
        </w:rPr>
        <w:t>. Wiley-Blackwell.</w:t>
      </w:r>
    </w:p>
    <w:p w14:paraId="2FEFC60C"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Jiang, F. K., &amp; Hyland, K. (2016). Nouns and academic interactions: A neglected feature of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Applied Linguistics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39</w:t>
      </w:r>
      <w:r w:rsidRPr="00D46190">
        <w:rPr>
          <w:rFonts w:ascii="Times New Roman" w:eastAsia="Times New Roman" w:hAnsi="Times New Roman" w:cs="Times New Roman"/>
          <w:kern w:val="0"/>
          <w14:ligatures w14:val="none"/>
        </w:rPr>
        <w:t>(4), 508–531.</w:t>
      </w:r>
    </w:p>
    <w:p w14:paraId="1C8D86DD"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Kaddoura, M. (2013). Think pair share: A teaching learning strategy to enhance students’ critical thinking. </w:t>
      </w:r>
      <w:r w:rsidRPr="00D46190">
        <w:rPr>
          <w:rFonts w:ascii="Times New Roman" w:eastAsia="Times New Roman" w:hAnsi="Times New Roman" w:cs="Times New Roman"/>
          <w:i/>
          <w:iCs/>
          <w:kern w:val="0"/>
          <w14:ligatures w14:val="none"/>
        </w:rPr>
        <w:t>Education Research Quarterly</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36</w:t>
      </w:r>
      <w:r w:rsidRPr="00D46190">
        <w:rPr>
          <w:rFonts w:ascii="Times New Roman" w:eastAsia="Times New Roman" w:hAnsi="Times New Roman" w:cs="Times New Roman"/>
          <w:kern w:val="0"/>
          <w14:ligatures w14:val="none"/>
        </w:rPr>
        <w:t>(4), 3–24.</w:t>
      </w:r>
    </w:p>
    <w:p w14:paraId="7C7B9137" w14:textId="4DEE3FDF"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Kaplan, R. B. (1966). Cultural thought patterns in inter-cultural education. </w:t>
      </w:r>
      <w:r w:rsidRPr="00D46190">
        <w:rPr>
          <w:rFonts w:ascii="Times New Roman" w:eastAsia="Times New Roman" w:hAnsi="Times New Roman" w:cs="Times New Roman"/>
          <w:i/>
          <w:iCs/>
          <w:kern w:val="0"/>
          <w14:ligatures w14:val="none"/>
        </w:rPr>
        <w:t>Language Learning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16</w:t>
      </w:r>
      <w:r w:rsidRPr="00D46190">
        <w:rPr>
          <w:rFonts w:ascii="Times New Roman" w:eastAsia="Times New Roman" w:hAnsi="Times New Roman" w:cs="Times New Roman"/>
          <w:kern w:val="0"/>
          <w14:ligatures w14:val="none"/>
        </w:rPr>
        <w:t xml:space="preserve">(1-2), 1–20. </w:t>
      </w:r>
    </w:p>
    <w:p w14:paraId="2B7EEF61"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Khan, M., Muhammad, N., Ahmed, M., Saeed, F., &amp; Aman, K. S. (2012). Impact of activity-based teaching on students’ academic achievements in physics at secondary level. </w:t>
      </w:r>
      <w:r w:rsidRPr="00D46190">
        <w:rPr>
          <w:rFonts w:ascii="Times New Roman" w:eastAsia="Times New Roman" w:hAnsi="Times New Roman" w:cs="Times New Roman"/>
          <w:i/>
          <w:iCs/>
          <w:kern w:val="0"/>
          <w14:ligatures w14:val="none"/>
        </w:rPr>
        <w:t>Academic Research International</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w:t>
      </w:r>
      <w:r w:rsidRPr="00D46190">
        <w:rPr>
          <w:rFonts w:ascii="Times New Roman" w:eastAsia="Times New Roman" w:hAnsi="Times New Roman" w:cs="Times New Roman"/>
          <w:kern w:val="0"/>
          <w14:ligatures w14:val="none"/>
        </w:rPr>
        <w:t>(2), 146–156.</w:t>
      </w:r>
    </w:p>
    <w:p w14:paraId="3FB23494" w14:textId="31E233E9"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Kuo, C. H. (1999). The use of personal pronouns: Role relationships in scientific journal articles. </w:t>
      </w:r>
      <w:r w:rsidRPr="00D46190">
        <w:rPr>
          <w:rFonts w:ascii="Times New Roman" w:eastAsia="Times New Roman" w:hAnsi="Times New Roman" w:cs="Times New Roman"/>
          <w:i/>
          <w:iCs/>
          <w:kern w:val="0"/>
          <w14:ligatures w14:val="none"/>
        </w:rPr>
        <w:t>English for Specific Purposes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18</w:t>
      </w:r>
      <w:r w:rsidRPr="00D46190">
        <w:rPr>
          <w:rFonts w:ascii="Times New Roman" w:eastAsia="Times New Roman" w:hAnsi="Times New Roman" w:cs="Times New Roman"/>
          <w:kern w:val="0"/>
          <w14:ligatures w14:val="none"/>
        </w:rPr>
        <w:t xml:space="preserve">(2), 121–138. </w:t>
      </w:r>
    </w:p>
    <w:p w14:paraId="3297F186"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Kuswoyo</w:t>
      </w:r>
      <w:proofErr w:type="spellEnd"/>
      <w:r w:rsidRPr="00D46190">
        <w:rPr>
          <w:rFonts w:ascii="Times New Roman" w:eastAsia="Times New Roman" w:hAnsi="Times New Roman" w:cs="Times New Roman"/>
          <w:kern w:val="0"/>
          <w14:ligatures w14:val="none"/>
        </w:rPr>
        <w:t xml:space="preserve">, H., &amp; Siregar, R. A. (2019). Interpersonal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markers as persuasive strategies in oral business presentation. </w:t>
      </w:r>
      <w:r w:rsidRPr="00D46190">
        <w:rPr>
          <w:rFonts w:ascii="Times New Roman" w:eastAsia="Times New Roman" w:hAnsi="Times New Roman" w:cs="Times New Roman"/>
          <w:i/>
          <w:iCs/>
          <w:kern w:val="0"/>
          <w14:ligatures w14:val="none"/>
        </w:rPr>
        <w:t>Lingua Cultura</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13</w:t>
      </w:r>
      <w:r w:rsidRPr="00D46190">
        <w:rPr>
          <w:rFonts w:ascii="Times New Roman" w:eastAsia="Times New Roman" w:hAnsi="Times New Roman" w:cs="Times New Roman"/>
          <w:kern w:val="0"/>
          <w14:ligatures w14:val="none"/>
        </w:rPr>
        <w:t>(4), 297–304.</w:t>
      </w:r>
    </w:p>
    <w:p w14:paraId="0A1980C4"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Lear, J. L., Ansorge, C., &amp; Steckelberg, A. (2010). Interactivity/community process model for the online education environment. </w:t>
      </w:r>
      <w:r w:rsidRPr="00D46190">
        <w:rPr>
          <w:rFonts w:ascii="Times New Roman" w:eastAsia="Times New Roman" w:hAnsi="Times New Roman" w:cs="Times New Roman"/>
          <w:i/>
          <w:iCs/>
          <w:kern w:val="0"/>
          <w14:ligatures w14:val="none"/>
        </w:rPr>
        <w:t>MERLOT Journal of Online Learning and Teaching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6</w:t>
      </w:r>
      <w:r w:rsidRPr="00D46190">
        <w:rPr>
          <w:rFonts w:ascii="Times New Roman" w:eastAsia="Times New Roman" w:hAnsi="Times New Roman" w:cs="Times New Roman"/>
          <w:kern w:val="0"/>
          <w14:ligatures w14:val="none"/>
        </w:rPr>
        <w:t>(1), 1–18.</w:t>
      </w:r>
    </w:p>
    <w:p w14:paraId="0F6DA5F0"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Levrai</w:t>
      </w:r>
      <w:proofErr w:type="spellEnd"/>
      <w:r w:rsidRPr="00D46190">
        <w:rPr>
          <w:rFonts w:ascii="Times New Roman" w:eastAsia="Times New Roman" w:hAnsi="Times New Roman" w:cs="Times New Roman"/>
          <w:kern w:val="0"/>
          <w14:ligatures w14:val="none"/>
        </w:rPr>
        <w:t xml:space="preserve">, P., &amp; Bolster, A. (2015). Developing a closer understanding of academic oral presentations. </w:t>
      </w:r>
      <w:r w:rsidRPr="00D46190">
        <w:rPr>
          <w:rFonts w:ascii="Times New Roman" w:eastAsia="Times New Roman" w:hAnsi="Times New Roman" w:cs="Times New Roman"/>
          <w:i/>
          <w:iCs/>
          <w:kern w:val="0"/>
          <w14:ligatures w14:val="none"/>
        </w:rPr>
        <w:t>Folio</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16</w:t>
      </w:r>
      <w:r w:rsidRPr="00D46190">
        <w:rPr>
          <w:rFonts w:ascii="Times New Roman" w:eastAsia="Times New Roman" w:hAnsi="Times New Roman" w:cs="Times New Roman"/>
          <w:kern w:val="0"/>
          <w14:ligatures w14:val="none"/>
        </w:rPr>
        <w:t>, 65–72.</w:t>
      </w:r>
    </w:p>
    <w:p w14:paraId="7C83ADA5"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Lucas, S. E. (2019). </w:t>
      </w:r>
      <w:r w:rsidRPr="00D46190">
        <w:rPr>
          <w:rFonts w:ascii="Times New Roman" w:eastAsia="Times New Roman" w:hAnsi="Times New Roman" w:cs="Times New Roman"/>
          <w:i/>
          <w:iCs/>
          <w:kern w:val="0"/>
          <w14:ligatures w14:val="none"/>
        </w:rPr>
        <w:t>The art of public speaking</w:t>
      </w:r>
      <w:r w:rsidRPr="00D46190">
        <w:rPr>
          <w:rFonts w:ascii="Times New Roman" w:eastAsia="Times New Roman" w:hAnsi="Times New Roman" w:cs="Times New Roman"/>
          <w:kern w:val="0"/>
          <w14:ligatures w14:val="none"/>
        </w:rPr>
        <w:t xml:space="preserve"> (13th ed.). McGraw Hill Education.</w:t>
      </w:r>
    </w:p>
    <w:p w14:paraId="62A97B64" w14:textId="37397249"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MacIntyre</w:t>
      </w:r>
      <w:proofErr w:type="spellEnd"/>
      <w:r w:rsidRPr="00D46190">
        <w:rPr>
          <w:rFonts w:ascii="Times New Roman" w:eastAsia="Times New Roman" w:hAnsi="Times New Roman" w:cs="Times New Roman"/>
          <w:kern w:val="0"/>
          <w14:ligatures w14:val="none"/>
        </w:rPr>
        <w:t xml:space="preserve">, P. D. (2017). An overview of language anxiety research and trends in its development. In C. </w:t>
      </w:r>
      <w:proofErr w:type="spellStart"/>
      <w:r w:rsidRPr="00D46190">
        <w:rPr>
          <w:rFonts w:ascii="Times New Roman" w:eastAsia="Times New Roman" w:hAnsi="Times New Roman" w:cs="Times New Roman"/>
          <w:kern w:val="0"/>
          <w14:ligatures w14:val="none"/>
        </w:rPr>
        <w:t>Gkonou</w:t>
      </w:r>
      <w:proofErr w:type="spellEnd"/>
      <w:r w:rsidRPr="00D46190">
        <w:rPr>
          <w:rFonts w:ascii="Times New Roman" w:eastAsia="Times New Roman" w:hAnsi="Times New Roman" w:cs="Times New Roman"/>
          <w:kern w:val="0"/>
          <w14:ligatures w14:val="none"/>
        </w:rPr>
        <w:t xml:space="preserve">, M. Daubney, &amp; J. M. Dewaele (Eds.), </w:t>
      </w:r>
      <w:r w:rsidRPr="00D46190">
        <w:rPr>
          <w:rFonts w:ascii="Times New Roman" w:eastAsia="Times New Roman" w:hAnsi="Times New Roman" w:cs="Times New Roman"/>
          <w:i/>
          <w:iCs/>
          <w:kern w:val="0"/>
          <w14:ligatures w14:val="none"/>
        </w:rPr>
        <w:t>New insights into language anxiety: Theory, research and educational implications</w:t>
      </w:r>
      <w:r w:rsidRPr="00D46190">
        <w:rPr>
          <w:rFonts w:ascii="Times New Roman" w:eastAsia="Times New Roman" w:hAnsi="Times New Roman" w:cs="Times New Roman"/>
          <w:kern w:val="0"/>
          <w14:ligatures w14:val="none"/>
        </w:rPr>
        <w:t xml:space="preserve"> (pp. 11–30). Multilingual Matters. </w:t>
      </w:r>
    </w:p>
    <w:p w14:paraId="1AEF8D43" w14:textId="0E5A3F42"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Martin, F., &amp; Bolliger, D. U. (2018). Engagement matters: Student perceptions on the importance of engagement strategies in the online learning environment. </w:t>
      </w:r>
      <w:r w:rsidRPr="00D46190">
        <w:rPr>
          <w:rFonts w:ascii="Times New Roman" w:eastAsia="Times New Roman" w:hAnsi="Times New Roman" w:cs="Times New Roman"/>
          <w:i/>
          <w:iCs/>
          <w:kern w:val="0"/>
          <w14:ligatures w14:val="none"/>
        </w:rPr>
        <w:t>Online Learning</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22</w:t>
      </w:r>
      <w:r w:rsidRPr="00D46190">
        <w:rPr>
          <w:rFonts w:ascii="Times New Roman" w:eastAsia="Times New Roman" w:hAnsi="Times New Roman" w:cs="Times New Roman"/>
          <w:kern w:val="0"/>
          <w14:ligatures w14:val="none"/>
        </w:rPr>
        <w:t xml:space="preserve">(1), 205–222. </w:t>
      </w:r>
    </w:p>
    <w:p w14:paraId="730B0653" w14:textId="29C89072"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Mayer, R. (2008). Applying the science of learning: Evidence-based principles for the design of multimedia instruction. </w:t>
      </w:r>
      <w:r w:rsidRPr="00D46190">
        <w:rPr>
          <w:rFonts w:ascii="Times New Roman" w:eastAsia="Times New Roman" w:hAnsi="Times New Roman" w:cs="Times New Roman"/>
          <w:i/>
          <w:iCs/>
          <w:kern w:val="0"/>
          <w14:ligatures w14:val="none"/>
        </w:rPr>
        <w:t>American Psychologist</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63</w:t>
      </w:r>
      <w:r w:rsidRPr="00D46190">
        <w:rPr>
          <w:rFonts w:ascii="Times New Roman" w:eastAsia="Times New Roman" w:hAnsi="Times New Roman" w:cs="Times New Roman"/>
          <w:kern w:val="0"/>
          <w14:ligatures w14:val="none"/>
        </w:rPr>
        <w:t xml:space="preserve">(8), 760–769. </w:t>
      </w:r>
    </w:p>
    <w:p w14:paraId="08FE86D5"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Moore, M. G. (1993). Theory of transactional distance. In D. Keegan (Ed.), </w:t>
      </w:r>
      <w:r w:rsidRPr="00D46190">
        <w:rPr>
          <w:rFonts w:ascii="Times New Roman" w:eastAsia="Times New Roman" w:hAnsi="Times New Roman" w:cs="Times New Roman"/>
          <w:i/>
          <w:iCs/>
          <w:kern w:val="0"/>
          <w14:ligatures w14:val="none"/>
        </w:rPr>
        <w:t>Theoretical principles of distance education</w:t>
      </w:r>
      <w:r w:rsidRPr="00D46190">
        <w:rPr>
          <w:rFonts w:ascii="Times New Roman" w:eastAsia="Times New Roman" w:hAnsi="Times New Roman" w:cs="Times New Roman"/>
          <w:kern w:val="0"/>
          <w14:ligatures w14:val="none"/>
        </w:rPr>
        <w:t xml:space="preserve"> (pp. 22–29). Routledge.</w:t>
      </w:r>
    </w:p>
    <w:p w14:paraId="2787436A" w14:textId="40BAEE98"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Morreale, S. P., &amp; Backlund, P. M. (2007). </w:t>
      </w:r>
      <w:r w:rsidRPr="00D46190">
        <w:rPr>
          <w:rFonts w:ascii="Times New Roman" w:eastAsia="Times New Roman" w:hAnsi="Times New Roman" w:cs="Times New Roman"/>
          <w:i/>
          <w:iCs/>
          <w:kern w:val="0"/>
          <w14:ligatures w14:val="none"/>
        </w:rPr>
        <w:t>Large scale assessment in oral communication: K-12 &amp; higher education</w:t>
      </w:r>
      <w:r w:rsidRPr="00D46190">
        <w:rPr>
          <w:rFonts w:ascii="Times New Roman" w:eastAsia="Times New Roman" w:hAnsi="Times New Roman" w:cs="Times New Roman"/>
          <w:kern w:val="0"/>
          <w14:ligatures w14:val="none"/>
        </w:rPr>
        <w:t xml:space="preserve">. National Communication Association. </w:t>
      </w:r>
    </w:p>
    <w:p w14:paraId="0B320F87"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lastRenderedPageBreak/>
        <w:t xml:space="preserve">Morreale, S., Moore, M., Surges-Tatum, D., &amp; Webster, L. (Eds.). (2020). </w:t>
      </w:r>
      <w:r w:rsidRPr="00D46190">
        <w:rPr>
          <w:rFonts w:ascii="Times New Roman" w:eastAsia="Times New Roman" w:hAnsi="Times New Roman" w:cs="Times New Roman"/>
          <w:i/>
          <w:iCs/>
          <w:kern w:val="0"/>
          <w14:ligatures w14:val="none"/>
        </w:rPr>
        <w:t>The competent speaker speech evaluation form and manual</w:t>
      </w:r>
      <w:r w:rsidRPr="00D46190">
        <w:rPr>
          <w:rFonts w:ascii="Times New Roman" w:eastAsia="Times New Roman" w:hAnsi="Times New Roman" w:cs="Times New Roman"/>
          <w:kern w:val="0"/>
          <w14:ligatures w14:val="none"/>
        </w:rPr>
        <w:t>. National Communication Association.</w:t>
      </w:r>
    </w:p>
    <w:p w14:paraId="1A8A759A"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Nash, G., Crimmins, G., &amp; Oprescu, F. (2016). If first-year students are afraid of public speaking assessments what can teachers do to alleviate such anxiety? </w:t>
      </w:r>
      <w:r w:rsidRPr="00D46190">
        <w:rPr>
          <w:rFonts w:ascii="Times New Roman" w:eastAsia="Times New Roman" w:hAnsi="Times New Roman" w:cs="Times New Roman"/>
          <w:i/>
          <w:iCs/>
          <w:kern w:val="0"/>
          <w14:ligatures w14:val="none"/>
        </w:rPr>
        <w:t>Assessment &amp; Evaluation in Higher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41</w:t>
      </w:r>
      <w:r w:rsidRPr="00D46190">
        <w:rPr>
          <w:rFonts w:ascii="Times New Roman" w:eastAsia="Times New Roman" w:hAnsi="Times New Roman" w:cs="Times New Roman"/>
          <w:kern w:val="0"/>
          <w14:ligatures w14:val="none"/>
        </w:rPr>
        <w:t>(4), 586–600.</w:t>
      </w:r>
    </w:p>
    <w:p w14:paraId="4CCE5A54" w14:textId="0610773C"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Opoku, C. (2025). A systematic review of public relations strategies in Ghanaian universities: Implication for higher education management. </w:t>
      </w:r>
      <w:r w:rsidRPr="00D46190">
        <w:rPr>
          <w:rFonts w:ascii="Times New Roman" w:eastAsia="Times New Roman" w:hAnsi="Times New Roman" w:cs="Times New Roman"/>
          <w:i/>
          <w:iCs/>
          <w:kern w:val="0"/>
          <w14:ligatures w14:val="none"/>
        </w:rPr>
        <w:t>Asian Journal of Advanced Research and Reports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19</w:t>
      </w:r>
      <w:r w:rsidRPr="00D46190">
        <w:rPr>
          <w:rFonts w:ascii="Times New Roman" w:eastAsia="Times New Roman" w:hAnsi="Times New Roman" w:cs="Times New Roman"/>
          <w:kern w:val="0"/>
          <w14:ligatures w14:val="none"/>
        </w:rPr>
        <w:t xml:space="preserve">(3), 1–10 </w:t>
      </w:r>
    </w:p>
    <w:p w14:paraId="236C2A00"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Ozdemir, N. O., &amp; Longo, B. (2014).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use in thesis abstracts: A </w:t>
      </w:r>
      <w:proofErr w:type="spellStart"/>
      <w:r w:rsidRPr="00D46190">
        <w:rPr>
          <w:rFonts w:ascii="Times New Roman" w:eastAsia="Times New Roman" w:hAnsi="Times New Roman" w:cs="Times New Roman"/>
          <w:kern w:val="0"/>
          <w14:ligatures w14:val="none"/>
        </w:rPr>
        <w:t>crosscultural</w:t>
      </w:r>
      <w:proofErr w:type="spellEnd"/>
      <w:r w:rsidRPr="00D46190">
        <w:rPr>
          <w:rFonts w:ascii="Times New Roman" w:eastAsia="Times New Roman" w:hAnsi="Times New Roman" w:cs="Times New Roman"/>
          <w:kern w:val="0"/>
          <w14:ligatures w14:val="none"/>
        </w:rPr>
        <w:t xml:space="preserve"> study. </w:t>
      </w:r>
      <w:r w:rsidRPr="00D46190">
        <w:rPr>
          <w:rFonts w:ascii="Times New Roman" w:eastAsia="Times New Roman" w:hAnsi="Times New Roman" w:cs="Times New Roman"/>
          <w:i/>
          <w:iCs/>
          <w:kern w:val="0"/>
          <w14:ligatures w14:val="none"/>
        </w:rPr>
        <w:t>Procedia - Social and Behavioral Sciences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141</w:t>
      </w:r>
      <w:r w:rsidRPr="00D46190">
        <w:rPr>
          <w:rFonts w:ascii="Times New Roman" w:eastAsia="Times New Roman" w:hAnsi="Times New Roman" w:cs="Times New Roman"/>
          <w:kern w:val="0"/>
          <w14:ligatures w14:val="none"/>
        </w:rPr>
        <w:t>, 59–63.</w:t>
      </w:r>
    </w:p>
    <w:p w14:paraId="0794018B"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Paltridge, B. (1997). </w:t>
      </w:r>
      <w:r w:rsidRPr="00D46190">
        <w:rPr>
          <w:rFonts w:ascii="Times New Roman" w:eastAsia="Times New Roman" w:hAnsi="Times New Roman" w:cs="Times New Roman"/>
          <w:i/>
          <w:iCs/>
          <w:kern w:val="0"/>
          <w14:ligatures w14:val="none"/>
        </w:rPr>
        <w:t>Genre, frames and writing in research settings</w:t>
      </w:r>
      <w:r w:rsidRPr="00D46190">
        <w:rPr>
          <w:rFonts w:ascii="Times New Roman" w:eastAsia="Times New Roman" w:hAnsi="Times New Roman" w:cs="Times New Roman"/>
          <w:kern w:val="0"/>
          <w14:ligatures w14:val="none"/>
        </w:rPr>
        <w:t>. John Benjamins.</w:t>
      </w:r>
    </w:p>
    <w:p w14:paraId="540BE62B" w14:textId="4AF070EB"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Raba, A. A. (2017). The influence of Think-Pair-Share (TPS) on improving students’ oral communication skills in EFL classrooms. </w:t>
      </w:r>
      <w:r w:rsidRPr="00D46190">
        <w:rPr>
          <w:rFonts w:ascii="Times New Roman" w:eastAsia="Times New Roman" w:hAnsi="Times New Roman" w:cs="Times New Roman"/>
          <w:i/>
          <w:iCs/>
          <w:kern w:val="0"/>
          <w14:ligatures w14:val="none"/>
        </w:rPr>
        <w:t>Creative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8</w:t>
      </w:r>
      <w:r w:rsidRPr="00D46190">
        <w:rPr>
          <w:rFonts w:ascii="Times New Roman" w:eastAsia="Times New Roman" w:hAnsi="Times New Roman" w:cs="Times New Roman"/>
          <w:kern w:val="0"/>
          <w14:ligatures w14:val="none"/>
        </w:rPr>
        <w:t xml:space="preserve">(1), 12–23. </w:t>
      </w:r>
    </w:p>
    <w:p w14:paraId="6789F40F" w14:textId="0D35259B"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Rheisa</w:t>
      </w:r>
      <w:proofErr w:type="spellEnd"/>
      <w:r w:rsidRPr="00D46190">
        <w:rPr>
          <w:rFonts w:ascii="Times New Roman" w:eastAsia="Times New Roman" w:hAnsi="Times New Roman" w:cs="Times New Roman"/>
          <w:kern w:val="0"/>
          <w14:ligatures w14:val="none"/>
        </w:rPr>
        <w:t xml:space="preserve">, N. S. (2019). </w:t>
      </w:r>
      <w:proofErr w:type="spellStart"/>
      <w:r w:rsidRPr="00D46190">
        <w:rPr>
          <w:rFonts w:ascii="Times New Roman" w:eastAsia="Times New Roman" w:hAnsi="Times New Roman" w:cs="Times New Roman"/>
          <w:kern w:val="0"/>
          <w14:ligatures w14:val="none"/>
        </w:rPr>
        <w:t>Metadiscourse</w:t>
      </w:r>
      <w:proofErr w:type="spellEnd"/>
      <w:r w:rsidRPr="00D46190">
        <w:rPr>
          <w:rFonts w:ascii="Times New Roman" w:eastAsia="Times New Roman" w:hAnsi="Times New Roman" w:cs="Times New Roman"/>
          <w:kern w:val="0"/>
          <w14:ligatures w14:val="none"/>
        </w:rPr>
        <w:t xml:space="preserve"> as rhetorical strategy in YouTube review videos. </w:t>
      </w:r>
      <w:r w:rsidRPr="00D46190">
        <w:rPr>
          <w:rFonts w:ascii="Times New Roman" w:eastAsia="Times New Roman" w:hAnsi="Times New Roman" w:cs="Times New Roman"/>
          <w:i/>
          <w:iCs/>
          <w:kern w:val="0"/>
          <w14:ligatures w14:val="none"/>
        </w:rPr>
        <w:t>Proceedings of the 3rd English Language and Literature International Conference (</w:t>
      </w:r>
      <w:proofErr w:type="spellStart"/>
      <w:r w:rsidRPr="00D46190">
        <w:rPr>
          <w:rFonts w:ascii="Times New Roman" w:eastAsia="Times New Roman" w:hAnsi="Times New Roman" w:cs="Times New Roman"/>
          <w:i/>
          <w:iCs/>
          <w:kern w:val="0"/>
          <w14:ligatures w14:val="none"/>
        </w:rPr>
        <w:t>ELLiC</w:t>
      </w:r>
      <w:proofErr w:type="spellEnd"/>
      <w:r w:rsidRPr="00D46190">
        <w:rPr>
          <w:rFonts w:ascii="Times New Roman" w:eastAsia="Times New Roman" w:hAnsi="Times New Roman" w:cs="Times New Roman"/>
          <w:i/>
          <w:iCs/>
          <w:kern w:val="0"/>
          <w14:ligatures w14:val="none"/>
        </w:rPr>
        <w:t>)</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3</w:t>
      </w:r>
      <w:r w:rsidRPr="00D46190">
        <w:rPr>
          <w:rFonts w:ascii="Times New Roman" w:eastAsia="Times New Roman" w:hAnsi="Times New Roman" w:cs="Times New Roman"/>
          <w:kern w:val="0"/>
          <w14:ligatures w14:val="none"/>
        </w:rPr>
        <w:t xml:space="preserve">, 315–323. </w:t>
      </w:r>
    </w:p>
    <w:p w14:paraId="3264C7A1" w14:textId="0FDC3049"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Sakulin</w:t>
      </w:r>
      <w:proofErr w:type="spellEnd"/>
      <w:r w:rsidRPr="00D46190">
        <w:rPr>
          <w:rFonts w:ascii="Times New Roman" w:eastAsia="Times New Roman" w:hAnsi="Times New Roman" w:cs="Times New Roman"/>
          <w:kern w:val="0"/>
          <w14:ligatures w14:val="none"/>
        </w:rPr>
        <w:t xml:space="preserve">, S., </w:t>
      </w:r>
      <w:proofErr w:type="spellStart"/>
      <w:r w:rsidRPr="00D46190">
        <w:rPr>
          <w:rFonts w:ascii="Times New Roman" w:eastAsia="Times New Roman" w:hAnsi="Times New Roman" w:cs="Times New Roman"/>
          <w:kern w:val="0"/>
          <w14:ligatures w14:val="none"/>
        </w:rPr>
        <w:t>Alfimtsev</w:t>
      </w:r>
      <w:proofErr w:type="spellEnd"/>
      <w:r w:rsidRPr="00D46190">
        <w:rPr>
          <w:rFonts w:ascii="Times New Roman" w:eastAsia="Times New Roman" w:hAnsi="Times New Roman" w:cs="Times New Roman"/>
          <w:kern w:val="0"/>
          <w14:ligatures w14:val="none"/>
        </w:rPr>
        <w:t xml:space="preserve">, A., &amp; Sokolov, D. (2021). PowerPoint presentation evaluation based on aggregation of quality criteria. </w:t>
      </w:r>
      <w:r w:rsidRPr="00D46190">
        <w:rPr>
          <w:rFonts w:ascii="Times New Roman" w:eastAsia="Times New Roman" w:hAnsi="Times New Roman" w:cs="Times New Roman"/>
          <w:i/>
          <w:iCs/>
          <w:kern w:val="0"/>
          <w14:ligatures w14:val="none"/>
        </w:rPr>
        <w:t>International Journal of Information and Communication Technology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17</w:t>
      </w:r>
      <w:r w:rsidRPr="00D46190">
        <w:rPr>
          <w:rFonts w:ascii="Times New Roman" w:eastAsia="Times New Roman" w:hAnsi="Times New Roman" w:cs="Times New Roman"/>
          <w:kern w:val="0"/>
          <w14:ligatures w14:val="none"/>
        </w:rPr>
        <w:t xml:space="preserve">(1). </w:t>
      </w:r>
    </w:p>
    <w:p w14:paraId="5F4B3FB5"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Sfenrianto</w:t>
      </w:r>
      <w:proofErr w:type="spellEnd"/>
      <w:r w:rsidRPr="00D46190">
        <w:rPr>
          <w:rFonts w:ascii="Times New Roman" w:eastAsia="Times New Roman" w:hAnsi="Times New Roman" w:cs="Times New Roman"/>
          <w:kern w:val="0"/>
          <w14:ligatures w14:val="none"/>
        </w:rPr>
        <w:t xml:space="preserve">, S., </w:t>
      </w:r>
      <w:proofErr w:type="spellStart"/>
      <w:r w:rsidRPr="00D46190">
        <w:rPr>
          <w:rFonts w:ascii="Times New Roman" w:eastAsia="Times New Roman" w:hAnsi="Times New Roman" w:cs="Times New Roman"/>
          <w:kern w:val="0"/>
          <w14:ligatures w14:val="none"/>
        </w:rPr>
        <w:t>Tantrisna</w:t>
      </w:r>
      <w:proofErr w:type="spellEnd"/>
      <w:r w:rsidRPr="00D46190">
        <w:rPr>
          <w:rFonts w:ascii="Times New Roman" w:eastAsia="Times New Roman" w:hAnsi="Times New Roman" w:cs="Times New Roman"/>
          <w:kern w:val="0"/>
          <w14:ligatures w14:val="none"/>
        </w:rPr>
        <w:t xml:space="preserve">, E., Akbar, H., &amp; Wahyudi, M. (2018). E-learning effectiveness analysis in developing countries: East Nusa Tenggara, Indonesia perspective. </w:t>
      </w:r>
      <w:r w:rsidRPr="00D46190">
        <w:rPr>
          <w:rFonts w:ascii="Times New Roman" w:eastAsia="Times New Roman" w:hAnsi="Times New Roman" w:cs="Times New Roman"/>
          <w:i/>
          <w:iCs/>
          <w:kern w:val="0"/>
          <w14:ligatures w14:val="none"/>
        </w:rPr>
        <w:t>Bulletin of Electrical Engineering and Informatics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7</w:t>
      </w:r>
      <w:r w:rsidRPr="00D46190">
        <w:rPr>
          <w:rFonts w:ascii="Times New Roman" w:eastAsia="Times New Roman" w:hAnsi="Times New Roman" w:cs="Times New Roman"/>
          <w:kern w:val="0"/>
          <w14:ligatures w14:val="none"/>
        </w:rPr>
        <w:t>(4), 634–643.</w:t>
      </w:r>
    </w:p>
    <w:p w14:paraId="64D7E2E3" w14:textId="10799E49" w:rsidR="00D46190" w:rsidRPr="00D46190" w:rsidRDefault="00D46190" w:rsidP="00D46190">
      <w:pPr>
        <w:spacing w:after="0" w:line="240" w:lineRule="auto"/>
        <w:rPr>
          <w:rFonts w:ascii="Times New Roman" w:eastAsia="Times New Roman" w:hAnsi="Times New Roman" w:cs="Times New Roman"/>
          <w:kern w:val="0"/>
          <w14:ligatures w14:val="none"/>
        </w:rPr>
      </w:pPr>
      <w:proofErr w:type="spellStart"/>
      <w:r w:rsidRPr="00D46190">
        <w:rPr>
          <w:rFonts w:ascii="Times New Roman" w:eastAsia="Times New Roman" w:hAnsi="Times New Roman" w:cs="Times New Roman"/>
          <w:kern w:val="0"/>
          <w14:ligatures w14:val="none"/>
        </w:rPr>
        <w:t>Suwartono</w:t>
      </w:r>
      <w:proofErr w:type="spellEnd"/>
      <w:r w:rsidRPr="00D46190">
        <w:rPr>
          <w:rFonts w:ascii="Times New Roman" w:eastAsia="Times New Roman" w:hAnsi="Times New Roman" w:cs="Times New Roman"/>
          <w:kern w:val="0"/>
          <w14:ligatures w14:val="none"/>
        </w:rPr>
        <w:t xml:space="preserve">, T. (2021). Presentation content structuredness: How does it affect the audience? </w:t>
      </w:r>
      <w:proofErr w:type="spellStart"/>
      <w:r w:rsidRPr="00D46190">
        <w:rPr>
          <w:rFonts w:ascii="Times New Roman" w:eastAsia="Times New Roman" w:hAnsi="Times New Roman" w:cs="Times New Roman"/>
          <w:i/>
          <w:iCs/>
          <w:kern w:val="0"/>
          <w14:ligatures w14:val="none"/>
        </w:rPr>
        <w:t>Jurnal</w:t>
      </w:r>
      <w:proofErr w:type="spellEnd"/>
      <w:r w:rsidRPr="00D46190">
        <w:rPr>
          <w:rFonts w:ascii="Times New Roman" w:eastAsia="Times New Roman" w:hAnsi="Times New Roman" w:cs="Times New Roman"/>
          <w:i/>
          <w:iCs/>
          <w:kern w:val="0"/>
          <w14:ligatures w14:val="none"/>
        </w:rPr>
        <w:t xml:space="preserve"> </w:t>
      </w:r>
      <w:proofErr w:type="spellStart"/>
      <w:r w:rsidRPr="00D46190">
        <w:rPr>
          <w:rFonts w:ascii="Times New Roman" w:eastAsia="Times New Roman" w:hAnsi="Times New Roman" w:cs="Times New Roman"/>
          <w:i/>
          <w:iCs/>
          <w:kern w:val="0"/>
          <w14:ligatures w14:val="none"/>
        </w:rPr>
        <w:t>Ilmiah</w:t>
      </w:r>
      <w:proofErr w:type="spellEnd"/>
      <w:r w:rsidRPr="00D46190">
        <w:rPr>
          <w:rFonts w:ascii="Times New Roman" w:eastAsia="Times New Roman" w:hAnsi="Times New Roman" w:cs="Times New Roman"/>
          <w:i/>
          <w:iCs/>
          <w:kern w:val="0"/>
          <w14:ligatures w14:val="none"/>
        </w:rPr>
        <w:t xml:space="preserve"> Pendidikan dan </w:t>
      </w:r>
      <w:proofErr w:type="spellStart"/>
      <w:r w:rsidRPr="00D46190">
        <w:rPr>
          <w:rFonts w:ascii="Times New Roman" w:eastAsia="Times New Roman" w:hAnsi="Times New Roman" w:cs="Times New Roman"/>
          <w:i/>
          <w:iCs/>
          <w:kern w:val="0"/>
          <w14:ligatures w14:val="none"/>
        </w:rPr>
        <w:t>Pembelajaran</w:t>
      </w:r>
      <w:proofErr w:type="spellEnd"/>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5</w:t>
      </w:r>
      <w:r w:rsidRPr="00D46190">
        <w:rPr>
          <w:rFonts w:ascii="Times New Roman" w:eastAsia="Times New Roman" w:hAnsi="Times New Roman" w:cs="Times New Roman"/>
          <w:kern w:val="0"/>
          <w14:ligatures w14:val="none"/>
        </w:rPr>
        <w:t xml:space="preserve">(3), 446–454. </w:t>
      </w:r>
    </w:p>
    <w:p w14:paraId="4927FA07" w14:textId="5D047E99"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Tsang, A. (2017). Enhancing learners’ awareness of oral presentation (delivery) skills in the context of self-regulated learning. </w:t>
      </w:r>
      <w:r w:rsidRPr="00D46190">
        <w:rPr>
          <w:rFonts w:ascii="Times New Roman" w:eastAsia="Times New Roman" w:hAnsi="Times New Roman" w:cs="Times New Roman"/>
          <w:i/>
          <w:iCs/>
          <w:kern w:val="0"/>
          <w14:ligatures w14:val="none"/>
        </w:rPr>
        <w:t>Active Learning in Higher Education</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21</w:t>
      </w:r>
      <w:r w:rsidRPr="00D46190">
        <w:rPr>
          <w:rFonts w:ascii="Times New Roman" w:eastAsia="Times New Roman" w:hAnsi="Times New Roman" w:cs="Times New Roman"/>
          <w:kern w:val="0"/>
          <w14:ligatures w14:val="none"/>
        </w:rPr>
        <w:t xml:space="preserve">(1), 39–50. </w:t>
      </w:r>
    </w:p>
    <w:p w14:paraId="1DAFB709" w14:textId="00767F76"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Usera, D. (2023). Audience engagement techniques in oral presentations. </w:t>
      </w:r>
      <w:r w:rsidRPr="00D46190">
        <w:rPr>
          <w:rFonts w:ascii="Times New Roman" w:eastAsia="Times New Roman" w:hAnsi="Times New Roman" w:cs="Times New Roman"/>
          <w:i/>
          <w:iCs/>
          <w:kern w:val="0"/>
          <w14:ligatures w14:val="none"/>
        </w:rPr>
        <w:t>Business and Professional Communication Quarterly</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0</w:t>
      </w:r>
      <w:r w:rsidRPr="00D46190">
        <w:rPr>
          <w:rFonts w:ascii="Times New Roman" w:eastAsia="Times New Roman" w:hAnsi="Times New Roman" w:cs="Times New Roman"/>
          <w:kern w:val="0"/>
          <w14:ligatures w14:val="none"/>
        </w:rPr>
        <w:t>(0)</w:t>
      </w:r>
      <w:r>
        <w:rPr>
          <w:rFonts w:ascii="Times New Roman" w:eastAsia="Times New Roman" w:hAnsi="Times New Roman" w:cs="Times New Roman"/>
          <w:kern w:val="0"/>
          <w14:ligatures w14:val="none"/>
        </w:rPr>
        <w:t>.</w:t>
      </w:r>
    </w:p>
    <w:p w14:paraId="790D9B99" w14:textId="7E81191D"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Uzun, A. M., &amp; Kilis, S. (2019). Impressions of preservice teachers about use of </w:t>
      </w:r>
      <w:proofErr w:type="spellStart"/>
      <w:r w:rsidRPr="00D46190">
        <w:rPr>
          <w:rFonts w:ascii="Times New Roman" w:eastAsia="Times New Roman" w:hAnsi="Times New Roman" w:cs="Times New Roman"/>
          <w:kern w:val="0"/>
          <w14:ligatures w14:val="none"/>
        </w:rPr>
        <w:t>Powerpoint</w:t>
      </w:r>
      <w:proofErr w:type="spellEnd"/>
      <w:r w:rsidRPr="00D46190">
        <w:rPr>
          <w:rFonts w:ascii="Times New Roman" w:eastAsia="Times New Roman" w:hAnsi="Times New Roman" w:cs="Times New Roman"/>
          <w:kern w:val="0"/>
          <w14:ligatures w14:val="none"/>
        </w:rPr>
        <w:t xml:space="preserve"> slides by their instructors and its effects on their learning. </w:t>
      </w:r>
      <w:r w:rsidRPr="00D46190">
        <w:rPr>
          <w:rFonts w:ascii="Times New Roman" w:eastAsia="Times New Roman" w:hAnsi="Times New Roman" w:cs="Times New Roman"/>
          <w:i/>
          <w:iCs/>
          <w:kern w:val="0"/>
          <w14:ligatures w14:val="none"/>
        </w:rPr>
        <w:t>International Journal of Contemporary Educational Research</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6</w:t>
      </w:r>
      <w:r w:rsidRPr="00D46190">
        <w:rPr>
          <w:rFonts w:ascii="Times New Roman" w:eastAsia="Times New Roman" w:hAnsi="Times New Roman" w:cs="Times New Roman"/>
          <w:kern w:val="0"/>
          <w14:ligatures w14:val="none"/>
        </w:rPr>
        <w:t xml:space="preserve">(1), 1–17. </w:t>
      </w:r>
    </w:p>
    <w:p w14:paraId="1A1739CA"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Van Emden, J., &amp; Becker, L. (2016). </w:t>
      </w:r>
      <w:r w:rsidRPr="00D46190">
        <w:rPr>
          <w:rFonts w:ascii="Times New Roman" w:eastAsia="Times New Roman" w:hAnsi="Times New Roman" w:cs="Times New Roman"/>
          <w:i/>
          <w:iCs/>
          <w:kern w:val="0"/>
          <w14:ligatures w14:val="none"/>
        </w:rPr>
        <w:t>Presentation skills for students</w:t>
      </w:r>
      <w:r w:rsidRPr="00D46190">
        <w:rPr>
          <w:rFonts w:ascii="Times New Roman" w:eastAsia="Times New Roman" w:hAnsi="Times New Roman" w:cs="Times New Roman"/>
          <w:kern w:val="0"/>
          <w14:ligatures w14:val="none"/>
        </w:rPr>
        <w:t>. Bloomsbury Academic.</w:t>
      </w:r>
    </w:p>
    <w:p w14:paraId="0810C1F1" w14:textId="77777777"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Zakaria, A., </w:t>
      </w:r>
      <w:proofErr w:type="spellStart"/>
      <w:r w:rsidRPr="00D46190">
        <w:rPr>
          <w:rFonts w:ascii="Times New Roman" w:eastAsia="Times New Roman" w:hAnsi="Times New Roman" w:cs="Times New Roman"/>
          <w:kern w:val="0"/>
          <w14:ligatures w14:val="none"/>
        </w:rPr>
        <w:t>Renandya</w:t>
      </w:r>
      <w:proofErr w:type="spellEnd"/>
      <w:r w:rsidRPr="00D46190">
        <w:rPr>
          <w:rFonts w:ascii="Times New Roman" w:eastAsia="Times New Roman" w:hAnsi="Times New Roman" w:cs="Times New Roman"/>
          <w:kern w:val="0"/>
          <w14:ligatures w14:val="none"/>
        </w:rPr>
        <w:t xml:space="preserve">, W. A., &amp; </w:t>
      </w:r>
      <w:proofErr w:type="spellStart"/>
      <w:r w:rsidRPr="00D46190">
        <w:rPr>
          <w:rFonts w:ascii="Times New Roman" w:eastAsia="Times New Roman" w:hAnsi="Times New Roman" w:cs="Times New Roman"/>
          <w:kern w:val="0"/>
          <w14:ligatures w14:val="none"/>
        </w:rPr>
        <w:t>Aryadoust</w:t>
      </w:r>
      <w:proofErr w:type="spellEnd"/>
      <w:r w:rsidRPr="00D46190">
        <w:rPr>
          <w:rFonts w:ascii="Times New Roman" w:eastAsia="Times New Roman" w:hAnsi="Times New Roman" w:cs="Times New Roman"/>
          <w:kern w:val="0"/>
          <w14:ligatures w14:val="none"/>
        </w:rPr>
        <w:t xml:space="preserve">, V. (2023). A corpus study of language simplification and grammar in graded readers. </w:t>
      </w:r>
      <w:r w:rsidRPr="00D46190">
        <w:rPr>
          <w:rFonts w:ascii="Times New Roman" w:eastAsia="Times New Roman" w:hAnsi="Times New Roman" w:cs="Times New Roman"/>
          <w:i/>
          <w:iCs/>
          <w:kern w:val="0"/>
          <w14:ligatures w14:val="none"/>
        </w:rPr>
        <w:t>LEARN Journal: Language Education and Acquisition Research Network</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16</w:t>
      </w:r>
      <w:r w:rsidRPr="00D46190">
        <w:rPr>
          <w:rFonts w:ascii="Times New Roman" w:eastAsia="Times New Roman" w:hAnsi="Times New Roman" w:cs="Times New Roman"/>
          <w:kern w:val="0"/>
          <w14:ligatures w14:val="none"/>
        </w:rPr>
        <w:t>(2), 130–153.</w:t>
      </w:r>
    </w:p>
    <w:p w14:paraId="05ECFFF0" w14:textId="78A8CB03" w:rsidR="00D46190" w:rsidRPr="00D46190" w:rsidRDefault="00D46190" w:rsidP="00D46190">
      <w:pPr>
        <w:spacing w:after="0" w:line="240" w:lineRule="auto"/>
        <w:rPr>
          <w:rFonts w:ascii="Times New Roman" w:eastAsia="Times New Roman" w:hAnsi="Times New Roman" w:cs="Times New Roman"/>
          <w:kern w:val="0"/>
          <w14:ligatures w14:val="none"/>
        </w:rPr>
      </w:pPr>
      <w:r w:rsidRPr="00D46190">
        <w:rPr>
          <w:rFonts w:ascii="Times New Roman" w:eastAsia="Times New Roman" w:hAnsi="Times New Roman" w:cs="Times New Roman"/>
          <w:kern w:val="0"/>
          <w14:ligatures w14:val="none"/>
        </w:rPr>
        <w:t xml:space="preserve">Živković, S. (2014). The importance of oral presentations for university students. </w:t>
      </w:r>
      <w:r w:rsidRPr="00D46190">
        <w:rPr>
          <w:rFonts w:ascii="Times New Roman" w:eastAsia="Times New Roman" w:hAnsi="Times New Roman" w:cs="Times New Roman"/>
          <w:i/>
          <w:iCs/>
          <w:kern w:val="0"/>
          <w14:ligatures w14:val="none"/>
        </w:rPr>
        <w:t>Mediterranean Journal of Social Sciences</w:t>
      </w:r>
      <w:r w:rsidRPr="00D46190">
        <w:rPr>
          <w:rFonts w:ascii="Times New Roman" w:eastAsia="Times New Roman" w:hAnsi="Times New Roman" w:cs="Times New Roman"/>
          <w:kern w:val="0"/>
          <w14:ligatures w14:val="none"/>
        </w:rPr>
        <w:t xml:space="preserve">, </w:t>
      </w:r>
      <w:r w:rsidRPr="00D46190">
        <w:rPr>
          <w:rFonts w:ascii="Times New Roman" w:eastAsia="Times New Roman" w:hAnsi="Times New Roman" w:cs="Times New Roman"/>
          <w:i/>
          <w:iCs/>
          <w:kern w:val="0"/>
          <w14:ligatures w14:val="none"/>
        </w:rPr>
        <w:t>5</w:t>
      </w:r>
      <w:r w:rsidRPr="00D46190">
        <w:rPr>
          <w:rFonts w:ascii="Times New Roman" w:eastAsia="Times New Roman" w:hAnsi="Times New Roman" w:cs="Times New Roman"/>
          <w:kern w:val="0"/>
          <w14:ligatures w14:val="none"/>
        </w:rPr>
        <w:t xml:space="preserve">(19), 468–473. </w:t>
      </w:r>
    </w:p>
    <w:p w14:paraId="7023554E" w14:textId="77777777" w:rsidR="00D46190" w:rsidRPr="00D46190" w:rsidRDefault="00D46190" w:rsidP="00D46190">
      <w:pPr>
        <w:spacing w:line="278" w:lineRule="auto"/>
        <w:rPr>
          <w:i/>
          <w:iCs/>
        </w:rPr>
      </w:pPr>
    </w:p>
    <w:p w14:paraId="7E33659D" w14:textId="37624DDF" w:rsidR="00621A30" w:rsidRPr="00C76F2D" w:rsidRDefault="00621A30" w:rsidP="00621A30">
      <w:pPr>
        <w:tabs>
          <w:tab w:val="left" w:pos="1380"/>
        </w:tabs>
        <w:rPr>
          <w:rFonts w:ascii="Times New Roman" w:hAnsi="Times New Roman" w:cs="Times New Roman"/>
        </w:rPr>
      </w:pPr>
    </w:p>
    <w:sectPr w:rsidR="00621A30" w:rsidRPr="00C76F2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09F49" w14:textId="77777777" w:rsidR="00F70645" w:rsidRDefault="00F70645" w:rsidP="000A79AE">
      <w:pPr>
        <w:spacing w:after="0" w:line="240" w:lineRule="auto"/>
      </w:pPr>
      <w:r>
        <w:separator/>
      </w:r>
    </w:p>
  </w:endnote>
  <w:endnote w:type="continuationSeparator" w:id="0">
    <w:p w14:paraId="5FBD5D18" w14:textId="77777777" w:rsidR="00F70645" w:rsidRDefault="00F70645" w:rsidP="000A7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124858"/>
      <w:docPartObj>
        <w:docPartGallery w:val="Page Numbers (Bottom of Page)"/>
        <w:docPartUnique/>
      </w:docPartObj>
    </w:sdtPr>
    <w:sdtEndPr>
      <w:rPr>
        <w:noProof/>
      </w:rPr>
    </w:sdtEndPr>
    <w:sdtContent>
      <w:p w14:paraId="2954966B" w14:textId="73A18F61" w:rsidR="000A79AE" w:rsidRDefault="000A79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92408A" w14:textId="77777777" w:rsidR="000A79AE" w:rsidRDefault="000A7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9016" w14:textId="77777777" w:rsidR="00F70645" w:rsidRDefault="00F70645" w:rsidP="000A79AE">
      <w:pPr>
        <w:spacing w:after="0" w:line="240" w:lineRule="auto"/>
      </w:pPr>
      <w:r>
        <w:separator/>
      </w:r>
    </w:p>
  </w:footnote>
  <w:footnote w:type="continuationSeparator" w:id="0">
    <w:p w14:paraId="6E501EF4" w14:textId="77777777" w:rsidR="00F70645" w:rsidRDefault="00F70645" w:rsidP="000A79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F65"/>
    <w:multiLevelType w:val="multilevel"/>
    <w:tmpl w:val="11F8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F1699"/>
    <w:multiLevelType w:val="multilevel"/>
    <w:tmpl w:val="3628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C55A0"/>
    <w:multiLevelType w:val="multilevel"/>
    <w:tmpl w:val="39108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866BC"/>
    <w:multiLevelType w:val="multilevel"/>
    <w:tmpl w:val="0626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35ADA"/>
    <w:multiLevelType w:val="multilevel"/>
    <w:tmpl w:val="65A2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24E8C"/>
    <w:multiLevelType w:val="multilevel"/>
    <w:tmpl w:val="3C92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441AB"/>
    <w:multiLevelType w:val="multilevel"/>
    <w:tmpl w:val="DB58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729B5"/>
    <w:multiLevelType w:val="multilevel"/>
    <w:tmpl w:val="6770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C1BF8"/>
    <w:multiLevelType w:val="multilevel"/>
    <w:tmpl w:val="3A16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16892"/>
    <w:multiLevelType w:val="multilevel"/>
    <w:tmpl w:val="0C88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80FD1"/>
    <w:multiLevelType w:val="multilevel"/>
    <w:tmpl w:val="D1E4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B5AF1"/>
    <w:multiLevelType w:val="multilevel"/>
    <w:tmpl w:val="2B12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D42E2"/>
    <w:multiLevelType w:val="multilevel"/>
    <w:tmpl w:val="414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9C5955"/>
    <w:multiLevelType w:val="multilevel"/>
    <w:tmpl w:val="BF1E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F00E4"/>
    <w:multiLevelType w:val="multilevel"/>
    <w:tmpl w:val="A74A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5A6B2D"/>
    <w:multiLevelType w:val="multilevel"/>
    <w:tmpl w:val="D3DC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C0622A"/>
    <w:multiLevelType w:val="multilevel"/>
    <w:tmpl w:val="49B0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9434C"/>
    <w:multiLevelType w:val="multilevel"/>
    <w:tmpl w:val="F660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2D3A86"/>
    <w:multiLevelType w:val="multilevel"/>
    <w:tmpl w:val="C7FA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5708C"/>
    <w:multiLevelType w:val="multilevel"/>
    <w:tmpl w:val="0AD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E60778"/>
    <w:multiLevelType w:val="multilevel"/>
    <w:tmpl w:val="50D4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7F56A4"/>
    <w:multiLevelType w:val="multilevel"/>
    <w:tmpl w:val="2514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CB6B93"/>
    <w:multiLevelType w:val="multilevel"/>
    <w:tmpl w:val="6276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436F36"/>
    <w:multiLevelType w:val="multilevel"/>
    <w:tmpl w:val="67FEF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5553D1"/>
    <w:multiLevelType w:val="multilevel"/>
    <w:tmpl w:val="8E2E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1F0A2B"/>
    <w:multiLevelType w:val="multilevel"/>
    <w:tmpl w:val="7A62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766E3C"/>
    <w:multiLevelType w:val="multilevel"/>
    <w:tmpl w:val="A39E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217640"/>
    <w:multiLevelType w:val="multilevel"/>
    <w:tmpl w:val="68B2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754809"/>
    <w:multiLevelType w:val="multilevel"/>
    <w:tmpl w:val="8A46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642871">
    <w:abstractNumId w:val="2"/>
  </w:num>
  <w:num w:numId="2" w16cid:durableId="1646399061">
    <w:abstractNumId w:val="3"/>
  </w:num>
  <w:num w:numId="3" w16cid:durableId="1963415208">
    <w:abstractNumId w:val="27"/>
  </w:num>
  <w:num w:numId="4" w16cid:durableId="404650518">
    <w:abstractNumId w:val="7"/>
  </w:num>
  <w:num w:numId="5" w16cid:durableId="297029914">
    <w:abstractNumId w:val="28"/>
  </w:num>
  <w:num w:numId="6" w16cid:durableId="2099054304">
    <w:abstractNumId w:val="6"/>
  </w:num>
  <w:num w:numId="7" w16cid:durableId="786628687">
    <w:abstractNumId w:val="23"/>
  </w:num>
  <w:num w:numId="8" w16cid:durableId="839613479">
    <w:abstractNumId w:val="4"/>
  </w:num>
  <w:num w:numId="9" w16cid:durableId="676540967">
    <w:abstractNumId w:val="11"/>
  </w:num>
  <w:num w:numId="10" w16cid:durableId="258107064">
    <w:abstractNumId w:val="15"/>
  </w:num>
  <w:num w:numId="11" w16cid:durableId="6715338">
    <w:abstractNumId w:val="25"/>
  </w:num>
  <w:num w:numId="12" w16cid:durableId="1656377815">
    <w:abstractNumId w:val="26"/>
  </w:num>
  <w:num w:numId="13" w16cid:durableId="1218710855">
    <w:abstractNumId w:val="22"/>
  </w:num>
  <w:num w:numId="14" w16cid:durableId="57022878">
    <w:abstractNumId w:val="1"/>
  </w:num>
  <w:num w:numId="15" w16cid:durableId="762605661">
    <w:abstractNumId w:val="24"/>
  </w:num>
  <w:num w:numId="16" w16cid:durableId="214322365">
    <w:abstractNumId w:val="12"/>
  </w:num>
  <w:num w:numId="17" w16cid:durableId="1864318708">
    <w:abstractNumId w:val="16"/>
  </w:num>
  <w:num w:numId="18" w16cid:durableId="1860967293">
    <w:abstractNumId w:val="18"/>
  </w:num>
  <w:num w:numId="19" w16cid:durableId="1571963049">
    <w:abstractNumId w:val="19"/>
  </w:num>
  <w:num w:numId="20" w16cid:durableId="1305619102">
    <w:abstractNumId w:val="13"/>
  </w:num>
  <w:num w:numId="21" w16cid:durableId="1074623251">
    <w:abstractNumId w:val="9"/>
  </w:num>
  <w:num w:numId="22" w16cid:durableId="979458935">
    <w:abstractNumId w:val="20"/>
  </w:num>
  <w:num w:numId="23" w16cid:durableId="210188453">
    <w:abstractNumId w:val="8"/>
  </w:num>
  <w:num w:numId="24" w16cid:durableId="1461342155">
    <w:abstractNumId w:val="10"/>
  </w:num>
  <w:num w:numId="25" w16cid:durableId="1607539524">
    <w:abstractNumId w:val="21"/>
  </w:num>
  <w:num w:numId="26" w16cid:durableId="1005474132">
    <w:abstractNumId w:val="14"/>
  </w:num>
  <w:num w:numId="27" w16cid:durableId="2119717504">
    <w:abstractNumId w:val="17"/>
  </w:num>
  <w:num w:numId="28" w16cid:durableId="203253035">
    <w:abstractNumId w:val="0"/>
  </w:num>
  <w:num w:numId="29" w16cid:durableId="1512791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268"/>
    <w:rsid w:val="00086268"/>
    <w:rsid w:val="000938B7"/>
    <w:rsid w:val="000A79AE"/>
    <w:rsid w:val="00140AA4"/>
    <w:rsid w:val="0014659C"/>
    <w:rsid w:val="00160F01"/>
    <w:rsid w:val="00183650"/>
    <w:rsid w:val="001D6119"/>
    <w:rsid w:val="001E132A"/>
    <w:rsid w:val="001E57A2"/>
    <w:rsid w:val="001F0F43"/>
    <w:rsid w:val="002234F7"/>
    <w:rsid w:val="0026299B"/>
    <w:rsid w:val="0029736C"/>
    <w:rsid w:val="002B7721"/>
    <w:rsid w:val="0035067E"/>
    <w:rsid w:val="003A64BA"/>
    <w:rsid w:val="003F6725"/>
    <w:rsid w:val="00422AD2"/>
    <w:rsid w:val="004321A5"/>
    <w:rsid w:val="004674E8"/>
    <w:rsid w:val="004874B0"/>
    <w:rsid w:val="0049524E"/>
    <w:rsid w:val="004A6723"/>
    <w:rsid w:val="004A7FDF"/>
    <w:rsid w:val="005756C2"/>
    <w:rsid w:val="005E755F"/>
    <w:rsid w:val="00606DB1"/>
    <w:rsid w:val="00621A30"/>
    <w:rsid w:val="006332F9"/>
    <w:rsid w:val="00633B21"/>
    <w:rsid w:val="0063540A"/>
    <w:rsid w:val="00675950"/>
    <w:rsid w:val="00714643"/>
    <w:rsid w:val="0071675F"/>
    <w:rsid w:val="00721437"/>
    <w:rsid w:val="0077684C"/>
    <w:rsid w:val="007C7DF9"/>
    <w:rsid w:val="0088330A"/>
    <w:rsid w:val="008B13D4"/>
    <w:rsid w:val="008F5964"/>
    <w:rsid w:val="00937679"/>
    <w:rsid w:val="0094596C"/>
    <w:rsid w:val="00A40178"/>
    <w:rsid w:val="00B34334"/>
    <w:rsid w:val="00B6749F"/>
    <w:rsid w:val="00B96F74"/>
    <w:rsid w:val="00BF78DD"/>
    <w:rsid w:val="00C01AAE"/>
    <w:rsid w:val="00C53CE9"/>
    <w:rsid w:val="00C76F2D"/>
    <w:rsid w:val="00CA25A3"/>
    <w:rsid w:val="00D46190"/>
    <w:rsid w:val="00DD4667"/>
    <w:rsid w:val="00DD7CF6"/>
    <w:rsid w:val="00DF2501"/>
    <w:rsid w:val="00E05240"/>
    <w:rsid w:val="00E063DD"/>
    <w:rsid w:val="00E16963"/>
    <w:rsid w:val="00E47D40"/>
    <w:rsid w:val="00ED43D9"/>
    <w:rsid w:val="00F06B10"/>
    <w:rsid w:val="00F41674"/>
    <w:rsid w:val="00F61BEA"/>
    <w:rsid w:val="00F70645"/>
    <w:rsid w:val="00F7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66714"/>
  <w15:chartTrackingRefBased/>
  <w15:docId w15:val="{95E0FC4E-C5E5-4981-BAD6-42281924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55F"/>
    <w:pPr>
      <w:spacing w:line="276" w:lineRule="auto"/>
    </w:pPr>
  </w:style>
  <w:style w:type="paragraph" w:styleId="Heading1">
    <w:name w:val="heading 1"/>
    <w:basedOn w:val="Normal"/>
    <w:next w:val="Normal"/>
    <w:link w:val="Heading1Char"/>
    <w:uiPriority w:val="9"/>
    <w:qFormat/>
    <w:rsid w:val="000862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2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2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2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2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2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2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2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2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2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268"/>
    <w:rPr>
      <w:rFonts w:eastAsiaTheme="majorEastAsia" w:cstheme="majorBidi"/>
      <w:color w:val="272727" w:themeColor="text1" w:themeTint="D8"/>
    </w:rPr>
  </w:style>
  <w:style w:type="paragraph" w:styleId="Title">
    <w:name w:val="Title"/>
    <w:basedOn w:val="Normal"/>
    <w:next w:val="Normal"/>
    <w:link w:val="TitleChar"/>
    <w:uiPriority w:val="10"/>
    <w:qFormat/>
    <w:rsid w:val="00086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268"/>
    <w:pPr>
      <w:spacing w:before="160"/>
      <w:jc w:val="center"/>
    </w:pPr>
    <w:rPr>
      <w:i/>
      <w:iCs/>
      <w:color w:val="404040" w:themeColor="text1" w:themeTint="BF"/>
    </w:rPr>
  </w:style>
  <w:style w:type="character" w:customStyle="1" w:styleId="QuoteChar">
    <w:name w:val="Quote Char"/>
    <w:basedOn w:val="DefaultParagraphFont"/>
    <w:link w:val="Quote"/>
    <w:uiPriority w:val="29"/>
    <w:rsid w:val="00086268"/>
    <w:rPr>
      <w:i/>
      <w:iCs/>
      <w:color w:val="404040" w:themeColor="text1" w:themeTint="BF"/>
    </w:rPr>
  </w:style>
  <w:style w:type="paragraph" w:styleId="ListParagraph">
    <w:name w:val="List Paragraph"/>
    <w:basedOn w:val="Normal"/>
    <w:uiPriority w:val="34"/>
    <w:qFormat/>
    <w:rsid w:val="00086268"/>
    <w:pPr>
      <w:ind w:left="720"/>
      <w:contextualSpacing/>
    </w:pPr>
  </w:style>
  <w:style w:type="character" w:styleId="IntenseEmphasis">
    <w:name w:val="Intense Emphasis"/>
    <w:basedOn w:val="DefaultParagraphFont"/>
    <w:uiPriority w:val="21"/>
    <w:qFormat/>
    <w:rsid w:val="00086268"/>
    <w:rPr>
      <w:i/>
      <w:iCs/>
      <w:color w:val="2F5496" w:themeColor="accent1" w:themeShade="BF"/>
    </w:rPr>
  </w:style>
  <w:style w:type="paragraph" w:styleId="IntenseQuote">
    <w:name w:val="Intense Quote"/>
    <w:basedOn w:val="Normal"/>
    <w:next w:val="Normal"/>
    <w:link w:val="IntenseQuoteChar"/>
    <w:uiPriority w:val="30"/>
    <w:qFormat/>
    <w:rsid w:val="000862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268"/>
    <w:rPr>
      <w:i/>
      <w:iCs/>
      <w:color w:val="2F5496" w:themeColor="accent1" w:themeShade="BF"/>
    </w:rPr>
  </w:style>
  <w:style w:type="character" w:styleId="IntenseReference">
    <w:name w:val="Intense Reference"/>
    <w:basedOn w:val="DefaultParagraphFont"/>
    <w:uiPriority w:val="32"/>
    <w:qFormat/>
    <w:rsid w:val="00086268"/>
    <w:rPr>
      <w:b/>
      <w:bCs/>
      <w:smallCaps/>
      <w:color w:val="2F5496" w:themeColor="accent1" w:themeShade="BF"/>
      <w:spacing w:val="5"/>
    </w:rPr>
  </w:style>
  <w:style w:type="paragraph" w:styleId="NormalWeb">
    <w:name w:val="Normal (Web)"/>
    <w:basedOn w:val="Normal"/>
    <w:uiPriority w:val="99"/>
    <w:unhideWhenUsed/>
    <w:rsid w:val="00621A3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7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9AE"/>
  </w:style>
  <w:style w:type="paragraph" w:styleId="Footer">
    <w:name w:val="footer"/>
    <w:basedOn w:val="Normal"/>
    <w:link w:val="FooterChar"/>
    <w:uiPriority w:val="99"/>
    <w:unhideWhenUsed/>
    <w:rsid w:val="000A7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9AE"/>
  </w:style>
  <w:style w:type="character" w:styleId="Emphasis">
    <w:name w:val="Emphasis"/>
    <w:basedOn w:val="DefaultParagraphFont"/>
    <w:uiPriority w:val="20"/>
    <w:qFormat/>
    <w:rsid w:val="00B6749F"/>
    <w:rPr>
      <w:i/>
      <w:iCs/>
    </w:rPr>
  </w:style>
  <w:style w:type="character" w:styleId="Strong">
    <w:name w:val="Strong"/>
    <w:basedOn w:val="DefaultParagraphFont"/>
    <w:uiPriority w:val="22"/>
    <w:qFormat/>
    <w:rsid w:val="00140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91857">
      <w:bodyDiv w:val="1"/>
      <w:marLeft w:val="0"/>
      <w:marRight w:val="0"/>
      <w:marTop w:val="0"/>
      <w:marBottom w:val="0"/>
      <w:divBdr>
        <w:top w:val="none" w:sz="0" w:space="0" w:color="auto"/>
        <w:left w:val="none" w:sz="0" w:space="0" w:color="auto"/>
        <w:bottom w:val="none" w:sz="0" w:space="0" w:color="auto"/>
        <w:right w:val="none" w:sz="0" w:space="0" w:color="auto"/>
      </w:divBdr>
      <w:divsChild>
        <w:div w:id="1988851394">
          <w:marLeft w:val="0"/>
          <w:marRight w:val="0"/>
          <w:marTop w:val="0"/>
          <w:marBottom w:val="0"/>
          <w:divBdr>
            <w:top w:val="none" w:sz="0" w:space="0" w:color="auto"/>
            <w:left w:val="none" w:sz="0" w:space="0" w:color="auto"/>
            <w:bottom w:val="none" w:sz="0" w:space="0" w:color="auto"/>
            <w:right w:val="none" w:sz="0" w:space="0" w:color="auto"/>
          </w:divBdr>
          <w:divsChild>
            <w:div w:id="1500659623">
              <w:marLeft w:val="0"/>
              <w:marRight w:val="0"/>
              <w:marTop w:val="0"/>
              <w:marBottom w:val="0"/>
              <w:divBdr>
                <w:top w:val="none" w:sz="0" w:space="0" w:color="auto"/>
                <w:left w:val="none" w:sz="0" w:space="0" w:color="auto"/>
                <w:bottom w:val="none" w:sz="0" w:space="0" w:color="auto"/>
                <w:right w:val="none" w:sz="0" w:space="0" w:color="auto"/>
              </w:divBdr>
              <w:divsChild>
                <w:div w:id="1739091468">
                  <w:marLeft w:val="0"/>
                  <w:marRight w:val="0"/>
                  <w:marTop w:val="0"/>
                  <w:marBottom w:val="0"/>
                  <w:divBdr>
                    <w:top w:val="none" w:sz="0" w:space="0" w:color="auto"/>
                    <w:left w:val="none" w:sz="0" w:space="0" w:color="auto"/>
                    <w:bottom w:val="none" w:sz="0" w:space="0" w:color="auto"/>
                    <w:right w:val="none" w:sz="0" w:space="0" w:color="auto"/>
                  </w:divBdr>
                  <w:divsChild>
                    <w:div w:id="1749574465">
                      <w:marLeft w:val="0"/>
                      <w:marRight w:val="0"/>
                      <w:marTop w:val="0"/>
                      <w:marBottom w:val="0"/>
                      <w:divBdr>
                        <w:top w:val="none" w:sz="0" w:space="0" w:color="auto"/>
                        <w:left w:val="none" w:sz="0" w:space="0" w:color="auto"/>
                        <w:bottom w:val="none" w:sz="0" w:space="0" w:color="auto"/>
                        <w:right w:val="none" w:sz="0" w:space="0" w:color="auto"/>
                      </w:divBdr>
                      <w:divsChild>
                        <w:div w:id="1969625186">
                          <w:marLeft w:val="0"/>
                          <w:marRight w:val="0"/>
                          <w:marTop w:val="0"/>
                          <w:marBottom w:val="0"/>
                          <w:divBdr>
                            <w:top w:val="none" w:sz="0" w:space="0" w:color="auto"/>
                            <w:left w:val="none" w:sz="0" w:space="0" w:color="auto"/>
                            <w:bottom w:val="none" w:sz="0" w:space="0" w:color="auto"/>
                            <w:right w:val="none" w:sz="0" w:space="0" w:color="auto"/>
                          </w:divBdr>
                          <w:divsChild>
                            <w:div w:id="1190484254">
                              <w:marLeft w:val="0"/>
                              <w:marRight w:val="0"/>
                              <w:marTop w:val="0"/>
                              <w:marBottom w:val="0"/>
                              <w:divBdr>
                                <w:top w:val="none" w:sz="0" w:space="0" w:color="auto"/>
                                <w:left w:val="none" w:sz="0" w:space="0" w:color="auto"/>
                                <w:bottom w:val="none" w:sz="0" w:space="0" w:color="auto"/>
                                <w:right w:val="none" w:sz="0" w:space="0" w:color="auto"/>
                              </w:divBdr>
                              <w:divsChild>
                                <w:div w:id="48247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5120">
          <w:marLeft w:val="0"/>
          <w:marRight w:val="0"/>
          <w:marTop w:val="0"/>
          <w:marBottom w:val="0"/>
          <w:divBdr>
            <w:top w:val="none" w:sz="0" w:space="0" w:color="auto"/>
            <w:left w:val="none" w:sz="0" w:space="0" w:color="auto"/>
            <w:bottom w:val="none" w:sz="0" w:space="0" w:color="auto"/>
            <w:right w:val="none" w:sz="0" w:space="0" w:color="auto"/>
          </w:divBdr>
          <w:divsChild>
            <w:div w:id="1302662007">
              <w:marLeft w:val="0"/>
              <w:marRight w:val="0"/>
              <w:marTop w:val="0"/>
              <w:marBottom w:val="0"/>
              <w:divBdr>
                <w:top w:val="none" w:sz="0" w:space="0" w:color="auto"/>
                <w:left w:val="none" w:sz="0" w:space="0" w:color="auto"/>
                <w:bottom w:val="none" w:sz="0" w:space="0" w:color="auto"/>
                <w:right w:val="none" w:sz="0" w:space="0" w:color="auto"/>
              </w:divBdr>
              <w:divsChild>
                <w:div w:id="1092972507">
                  <w:marLeft w:val="0"/>
                  <w:marRight w:val="0"/>
                  <w:marTop w:val="0"/>
                  <w:marBottom w:val="0"/>
                  <w:divBdr>
                    <w:top w:val="none" w:sz="0" w:space="0" w:color="auto"/>
                    <w:left w:val="none" w:sz="0" w:space="0" w:color="auto"/>
                    <w:bottom w:val="none" w:sz="0" w:space="0" w:color="auto"/>
                    <w:right w:val="none" w:sz="0" w:space="0" w:color="auto"/>
                  </w:divBdr>
                  <w:divsChild>
                    <w:div w:id="3676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730">
              <w:marLeft w:val="0"/>
              <w:marRight w:val="0"/>
              <w:marTop w:val="0"/>
              <w:marBottom w:val="0"/>
              <w:divBdr>
                <w:top w:val="none" w:sz="0" w:space="0" w:color="auto"/>
                <w:left w:val="none" w:sz="0" w:space="0" w:color="auto"/>
                <w:bottom w:val="none" w:sz="0" w:space="0" w:color="auto"/>
                <w:right w:val="none" w:sz="0" w:space="0" w:color="auto"/>
              </w:divBdr>
              <w:divsChild>
                <w:div w:id="173618687">
                  <w:marLeft w:val="0"/>
                  <w:marRight w:val="0"/>
                  <w:marTop w:val="0"/>
                  <w:marBottom w:val="0"/>
                  <w:divBdr>
                    <w:top w:val="none" w:sz="0" w:space="0" w:color="auto"/>
                    <w:left w:val="none" w:sz="0" w:space="0" w:color="auto"/>
                    <w:bottom w:val="none" w:sz="0" w:space="0" w:color="auto"/>
                    <w:right w:val="none" w:sz="0" w:space="0" w:color="auto"/>
                  </w:divBdr>
                  <w:divsChild>
                    <w:div w:id="89664128">
                      <w:marLeft w:val="0"/>
                      <w:marRight w:val="0"/>
                      <w:marTop w:val="0"/>
                      <w:marBottom w:val="0"/>
                      <w:divBdr>
                        <w:top w:val="none" w:sz="0" w:space="0" w:color="auto"/>
                        <w:left w:val="none" w:sz="0" w:space="0" w:color="auto"/>
                        <w:bottom w:val="none" w:sz="0" w:space="0" w:color="auto"/>
                        <w:right w:val="none" w:sz="0" w:space="0" w:color="auto"/>
                      </w:divBdr>
                      <w:divsChild>
                        <w:div w:id="1385986710">
                          <w:marLeft w:val="0"/>
                          <w:marRight w:val="0"/>
                          <w:marTop w:val="0"/>
                          <w:marBottom w:val="0"/>
                          <w:divBdr>
                            <w:top w:val="none" w:sz="0" w:space="0" w:color="auto"/>
                            <w:left w:val="none" w:sz="0" w:space="0" w:color="auto"/>
                            <w:bottom w:val="none" w:sz="0" w:space="0" w:color="auto"/>
                            <w:right w:val="none" w:sz="0" w:space="0" w:color="auto"/>
                          </w:divBdr>
                          <w:divsChild>
                            <w:div w:id="702678028">
                              <w:marLeft w:val="0"/>
                              <w:marRight w:val="0"/>
                              <w:marTop w:val="0"/>
                              <w:marBottom w:val="0"/>
                              <w:divBdr>
                                <w:top w:val="none" w:sz="0" w:space="0" w:color="auto"/>
                                <w:left w:val="none" w:sz="0" w:space="0" w:color="auto"/>
                                <w:bottom w:val="none" w:sz="0" w:space="0" w:color="auto"/>
                                <w:right w:val="none" w:sz="0" w:space="0" w:color="auto"/>
                              </w:divBdr>
                              <w:divsChild>
                                <w:div w:id="99583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484464">
      <w:bodyDiv w:val="1"/>
      <w:marLeft w:val="0"/>
      <w:marRight w:val="0"/>
      <w:marTop w:val="0"/>
      <w:marBottom w:val="0"/>
      <w:divBdr>
        <w:top w:val="none" w:sz="0" w:space="0" w:color="auto"/>
        <w:left w:val="none" w:sz="0" w:space="0" w:color="auto"/>
        <w:bottom w:val="none" w:sz="0" w:space="0" w:color="auto"/>
        <w:right w:val="none" w:sz="0" w:space="0" w:color="auto"/>
      </w:divBdr>
    </w:div>
    <w:div w:id="322898093">
      <w:bodyDiv w:val="1"/>
      <w:marLeft w:val="0"/>
      <w:marRight w:val="0"/>
      <w:marTop w:val="0"/>
      <w:marBottom w:val="0"/>
      <w:divBdr>
        <w:top w:val="none" w:sz="0" w:space="0" w:color="auto"/>
        <w:left w:val="none" w:sz="0" w:space="0" w:color="auto"/>
        <w:bottom w:val="none" w:sz="0" w:space="0" w:color="auto"/>
        <w:right w:val="none" w:sz="0" w:space="0" w:color="auto"/>
      </w:divBdr>
    </w:div>
    <w:div w:id="349071101">
      <w:bodyDiv w:val="1"/>
      <w:marLeft w:val="0"/>
      <w:marRight w:val="0"/>
      <w:marTop w:val="0"/>
      <w:marBottom w:val="0"/>
      <w:divBdr>
        <w:top w:val="none" w:sz="0" w:space="0" w:color="auto"/>
        <w:left w:val="none" w:sz="0" w:space="0" w:color="auto"/>
        <w:bottom w:val="none" w:sz="0" w:space="0" w:color="auto"/>
        <w:right w:val="none" w:sz="0" w:space="0" w:color="auto"/>
      </w:divBdr>
    </w:div>
    <w:div w:id="445807909">
      <w:bodyDiv w:val="1"/>
      <w:marLeft w:val="0"/>
      <w:marRight w:val="0"/>
      <w:marTop w:val="0"/>
      <w:marBottom w:val="0"/>
      <w:divBdr>
        <w:top w:val="none" w:sz="0" w:space="0" w:color="auto"/>
        <w:left w:val="none" w:sz="0" w:space="0" w:color="auto"/>
        <w:bottom w:val="none" w:sz="0" w:space="0" w:color="auto"/>
        <w:right w:val="none" w:sz="0" w:space="0" w:color="auto"/>
      </w:divBdr>
    </w:div>
    <w:div w:id="932787160">
      <w:bodyDiv w:val="1"/>
      <w:marLeft w:val="0"/>
      <w:marRight w:val="0"/>
      <w:marTop w:val="0"/>
      <w:marBottom w:val="0"/>
      <w:divBdr>
        <w:top w:val="none" w:sz="0" w:space="0" w:color="auto"/>
        <w:left w:val="none" w:sz="0" w:space="0" w:color="auto"/>
        <w:bottom w:val="none" w:sz="0" w:space="0" w:color="auto"/>
        <w:right w:val="none" w:sz="0" w:space="0" w:color="auto"/>
      </w:divBdr>
      <w:divsChild>
        <w:div w:id="1436100777">
          <w:marLeft w:val="0"/>
          <w:marRight w:val="0"/>
          <w:marTop w:val="0"/>
          <w:marBottom w:val="0"/>
          <w:divBdr>
            <w:top w:val="none" w:sz="0" w:space="0" w:color="auto"/>
            <w:left w:val="none" w:sz="0" w:space="0" w:color="auto"/>
            <w:bottom w:val="none" w:sz="0" w:space="0" w:color="auto"/>
            <w:right w:val="none" w:sz="0" w:space="0" w:color="auto"/>
          </w:divBdr>
          <w:divsChild>
            <w:div w:id="511147166">
              <w:marLeft w:val="0"/>
              <w:marRight w:val="0"/>
              <w:marTop w:val="0"/>
              <w:marBottom w:val="0"/>
              <w:divBdr>
                <w:top w:val="none" w:sz="0" w:space="0" w:color="auto"/>
                <w:left w:val="none" w:sz="0" w:space="0" w:color="auto"/>
                <w:bottom w:val="none" w:sz="0" w:space="0" w:color="auto"/>
                <w:right w:val="none" w:sz="0" w:space="0" w:color="auto"/>
              </w:divBdr>
              <w:divsChild>
                <w:div w:id="847450477">
                  <w:marLeft w:val="0"/>
                  <w:marRight w:val="0"/>
                  <w:marTop w:val="0"/>
                  <w:marBottom w:val="0"/>
                  <w:divBdr>
                    <w:top w:val="none" w:sz="0" w:space="0" w:color="auto"/>
                    <w:left w:val="none" w:sz="0" w:space="0" w:color="auto"/>
                    <w:bottom w:val="none" w:sz="0" w:space="0" w:color="auto"/>
                    <w:right w:val="none" w:sz="0" w:space="0" w:color="auto"/>
                  </w:divBdr>
                  <w:divsChild>
                    <w:div w:id="664210914">
                      <w:marLeft w:val="0"/>
                      <w:marRight w:val="0"/>
                      <w:marTop w:val="0"/>
                      <w:marBottom w:val="0"/>
                      <w:divBdr>
                        <w:top w:val="none" w:sz="0" w:space="0" w:color="auto"/>
                        <w:left w:val="none" w:sz="0" w:space="0" w:color="auto"/>
                        <w:bottom w:val="none" w:sz="0" w:space="0" w:color="auto"/>
                        <w:right w:val="none" w:sz="0" w:space="0" w:color="auto"/>
                      </w:divBdr>
                      <w:divsChild>
                        <w:div w:id="803892376">
                          <w:marLeft w:val="0"/>
                          <w:marRight w:val="0"/>
                          <w:marTop w:val="0"/>
                          <w:marBottom w:val="0"/>
                          <w:divBdr>
                            <w:top w:val="none" w:sz="0" w:space="0" w:color="auto"/>
                            <w:left w:val="none" w:sz="0" w:space="0" w:color="auto"/>
                            <w:bottom w:val="none" w:sz="0" w:space="0" w:color="auto"/>
                            <w:right w:val="none" w:sz="0" w:space="0" w:color="auto"/>
                          </w:divBdr>
                          <w:divsChild>
                            <w:div w:id="1354725823">
                              <w:marLeft w:val="0"/>
                              <w:marRight w:val="0"/>
                              <w:marTop w:val="0"/>
                              <w:marBottom w:val="0"/>
                              <w:divBdr>
                                <w:top w:val="none" w:sz="0" w:space="0" w:color="auto"/>
                                <w:left w:val="none" w:sz="0" w:space="0" w:color="auto"/>
                                <w:bottom w:val="none" w:sz="0" w:space="0" w:color="auto"/>
                                <w:right w:val="none" w:sz="0" w:space="0" w:color="auto"/>
                              </w:divBdr>
                              <w:divsChild>
                                <w:div w:id="2906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838928">
          <w:marLeft w:val="0"/>
          <w:marRight w:val="0"/>
          <w:marTop w:val="0"/>
          <w:marBottom w:val="0"/>
          <w:divBdr>
            <w:top w:val="none" w:sz="0" w:space="0" w:color="auto"/>
            <w:left w:val="none" w:sz="0" w:space="0" w:color="auto"/>
            <w:bottom w:val="none" w:sz="0" w:space="0" w:color="auto"/>
            <w:right w:val="none" w:sz="0" w:space="0" w:color="auto"/>
          </w:divBdr>
          <w:divsChild>
            <w:div w:id="1632587114">
              <w:marLeft w:val="0"/>
              <w:marRight w:val="0"/>
              <w:marTop w:val="0"/>
              <w:marBottom w:val="0"/>
              <w:divBdr>
                <w:top w:val="none" w:sz="0" w:space="0" w:color="auto"/>
                <w:left w:val="none" w:sz="0" w:space="0" w:color="auto"/>
                <w:bottom w:val="none" w:sz="0" w:space="0" w:color="auto"/>
                <w:right w:val="none" w:sz="0" w:space="0" w:color="auto"/>
              </w:divBdr>
              <w:divsChild>
                <w:div w:id="1655840239">
                  <w:marLeft w:val="0"/>
                  <w:marRight w:val="0"/>
                  <w:marTop w:val="0"/>
                  <w:marBottom w:val="0"/>
                  <w:divBdr>
                    <w:top w:val="none" w:sz="0" w:space="0" w:color="auto"/>
                    <w:left w:val="none" w:sz="0" w:space="0" w:color="auto"/>
                    <w:bottom w:val="none" w:sz="0" w:space="0" w:color="auto"/>
                    <w:right w:val="none" w:sz="0" w:space="0" w:color="auto"/>
                  </w:divBdr>
                  <w:divsChild>
                    <w:div w:id="196152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81232">
              <w:marLeft w:val="0"/>
              <w:marRight w:val="0"/>
              <w:marTop w:val="0"/>
              <w:marBottom w:val="0"/>
              <w:divBdr>
                <w:top w:val="none" w:sz="0" w:space="0" w:color="auto"/>
                <w:left w:val="none" w:sz="0" w:space="0" w:color="auto"/>
                <w:bottom w:val="none" w:sz="0" w:space="0" w:color="auto"/>
                <w:right w:val="none" w:sz="0" w:space="0" w:color="auto"/>
              </w:divBdr>
              <w:divsChild>
                <w:div w:id="1242301232">
                  <w:marLeft w:val="0"/>
                  <w:marRight w:val="0"/>
                  <w:marTop w:val="0"/>
                  <w:marBottom w:val="0"/>
                  <w:divBdr>
                    <w:top w:val="none" w:sz="0" w:space="0" w:color="auto"/>
                    <w:left w:val="none" w:sz="0" w:space="0" w:color="auto"/>
                    <w:bottom w:val="none" w:sz="0" w:space="0" w:color="auto"/>
                    <w:right w:val="none" w:sz="0" w:space="0" w:color="auto"/>
                  </w:divBdr>
                  <w:divsChild>
                    <w:div w:id="1051727181">
                      <w:marLeft w:val="0"/>
                      <w:marRight w:val="0"/>
                      <w:marTop w:val="0"/>
                      <w:marBottom w:val="0"/>
                      <w:divBdr>
                        <w:top w:val="none" w:sz="0" w:space="0" w:color="auto"/>
                        <w:left w:val="none" w:sz="0" w:space="0" w:color="auto"/>
                        <w:bottom w:val="none" w:sz="0" w:space="0" w:color="auto"/>
                        <w:right w:val="none" w:sz="0" w:space="0" w:color="auto"/>
                      </w:divBdr>
                      <w:divsChild>
                        <w:div w:id="201670649">
                          <w:marLeft w:val="0"/>
                          <w:marRight w:val="0"/>
                          <w:marTop w:val="0"/>
                          <w:marBottom w:val="0"/>
                          <w:divBdr>
                            <w:top w:val="none" w:sz="0" w:space="0" w:color="auto"/>
                            <w:left w:val="none" w:sz="0" w:space="0" w:color="auto"/>
                            <w:bottom w:val="none" w:sz="0" w:space="0" w:color="auto"/>
                            <w:right w:val="none" w:sz="0" w:space="0" w:color="auto"/>
                          </w:divBdr>
                          <w:divsChild>
                            <w:div w:id="641231946">
                              <w:marLeft w:val="0"/>
                              <w:marRight w:val="0"/>
                              <w:marTop w:val="0"/>
                              <w:marBottom w:val="0"/>
                              <w:divBdr>
                                <w:top w:val="none" w:sz="0" w:space="0" w:color="auto"/>
                                <w:left w:val="none" w:sz="0" w:space="0" w:color="auto"/>
                                <w:bottom w:val="none" w:sz="0" w:space="0" w:color="auto"/>
                                <w:right w:val="none" w:sz="0" w:space="0" w:color="auto"/>
                              </w:divBdr>
                              <w:divsChild>
                                <w:div w:id="152386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595982">
      <w:bodyDiv w:val="1"/>
      <w:marLeft w:val="0"/>
      <w:marRight w:val="0"/>
      <w:marTop w:val="0"/>
      <w:marBottom w:val="0"/>
      <w:divBdr>
        <w:top w:val="none" w:sz="0" w:space="0" w:color="auto"/>
        <w:left w:val="none" w:sz="0" w:space="0" w:color="auto"/>
        <w:bottom w:val="none" w:sz="0" w:space="0" w:color="auto"/>
        <w:right w:val="none" w:sz="0" w:space="0" w:color="auto"/>
      </w:divBdr>
    </w:div>
    <w:div w:id="1453010460">
      <w:bodyDiv w:val="1"/>
      <w:marLeft w:val="0"/>
      <w:marRight w:val="0"/>
      <w:marTop w:val="0"/>
      <w:marBottom w:val="0"/>
      <w:divBdr>
        <w:top w:val="none" w:sz="0" w:space="0" w:color="auto"/>
        <w:left w:val="none" w:sz="0" w:space="0" w:color="auto"/>
        <w:bottom w:val="none" w:sz="0" w:space="0" w:color="auto"/>
        <w:right w:val="none" w:sz="0" w:space="0" w:color="auto"/>
      </w:divBdr>
    </w:div>
    <w:div w:id="1487164325">
      <w:bodyDiv w:val="1"/>
      <w:marLeft w:val="0"/>
      <w:marRight w:val="0"/>
      <w:marTop w:val="0"/>
      <w:marBottom w:val="0"/>
      <w:divBdr>
        <w:top w:val="none" w:sz="0" w:space="0" w:color="auto"/>
        <w:left w:val="none" w:sz="0" w:space="0" w:color="auto"/>
        <w:bottom w:val="none" w:sz="0" w:space="0" w:color="auto"/>
        <w:right w:val="none" w:sz="0" w:space="0" w:color="auto"/>
      </w:divBdr>
    </w:div>
    <w:div w:id="1881240305">
      <w:bodyDiv w:val="1"/>
      <w:marLeft w:val="0"/>
      <w:marRight w:val="0"/>
      <w:marTop w:val="0"/>
      <w:marBottom w:val="0"/>
      <w:divBdr>
        <w:top w:val="none" w:sz="0" w:space="0" w:color="auto"/>
        <w:left w:val="none" w:sz="0" w:space="0" w:color="auto"/>
        <w:bottom w:val="none" w:sz="0" w:space="0" w:color="auto"/>
        <w:right w:val="none" w:sz="0" w:space="0" w:color="auto"/>
      </w:divBdr>
    </w:div>
    <w:div w:id="2033022750">
      <w:bodyDiv w:val="1"/>
      <w:marLeft w:val="0"/>
      <w:marRight w:val="0"/>
      <w:marTop w:val="0"/>
      <w:marBottom w:val="0"/>
      <w:divBdr>
        <w:top w:val="none" w:sz="0" w:space="0" w:color="auto"/>
        <w:left w:val="none" w:sz="0" w:space="0" w:color="auto"/>
        <w:bottom w:val="none" w:sz="0" w:space="0" w:color="auto"/>
        <w:right w:val="none" w:sz="0" w:space="0" w:color="auto"/>
      </w:divBdr>
    </w:div>
    <w:div w:id="2088842523">
      <w:bodyDiv w:val="1"/>
      <w:marLeft w:val="0"/>
      <w:marRight w:val="0"/>
      <w:marTop w:val="0"/>
      <w:marBottom w:val="0"/>
      <w:divBdr>
        <w:top w:val="none" w:sz="0" w:space="0" w:color="auto"/>
        <w:left w:val="none" w:sz="0" w:space="0" w:color="auto"/>
        <w:bottom w:val="none" w:sz="0" w:space="0" w:color="auto"/>
        <w:right w:val="none" w:sz="0" w:space="0" w:color="auto"/>
      </w:divBdr>
    </w:div>
    <w:div w:id="2095473973">
      <w:bodyDiv w:val="1"/>
      <w:marLeft w:val="0"/>
      <w:marRight w:val="0"/>
      <w:marTop w:val="0"/>
      <w:marBottom w:val="0"/>
      <w:divBdr>
        <w:top w:val="none" w:sz="0" w:space="0" w:color="auto"/>
        <w:left w:val="none" w:sz="0" w:space="0" w:color="auto"/>
        <w:bottom w:val="none" w:sz="0" w:space="0" w:color="auto"/>
        <w:right w:val="none" w:sz="0" w:space="0" w:color="auto"/>
      </w:divBdr>
    </w:div>
    <w:div w:id="209705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468</TotalTime>
  <Pages>19</Pages>
  <Words>8711</Words>
  <Characters>49659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Bibiebome</dc:creator>
  <cp:keywords/>
  <dc:description/>
  <cp:lastModifiedBy>Eric Bibiebome</cp:lastModifiedBy>
  <cp:revision>46</cp:revision>
  <dcterms:created xsi:type="dcterms:W3CDTF">2025-06-07T16:09:00Z</dcterms:created>
  <dcterms:modified xsi:type="dcterms:W3CDTF">2025-06-24T18:27:00Z</dcterms:modified>
</cp:coreProperties>
</file>