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40C30" w14:textId="77777777" w:rsidR="00AD1F78" w:rsidRPr="00C70040" w:rsidRDefault="00AD1F78" w:rsidP="0037472D">
      <w:pPr>
        <w:pStyle w:val="NoSpacing"/>
        <w:spacing w:line="480" w:lineRule="auto"/>
        <w:jc w:val="both"/>
        <w:rPr>
          <w:rFonts w:ascii="Times New Roman" w:hAnsi="Times New Roman" w:cs="Times New Roman"/>
          <w:b/>
          <w:sz w:val="24"/>
          <w:szCs w:val="24"/>
          <w:lang w:val="en-US"/>
        </w:rPr>
      </w:pPr>
      <w:bookmarkStart w:id="0" w:name="_Hlk527971442"/>
      <w:r w:rsidRPr="00D05D13">
        <w:rPr>
          <w:rFonts w:ascii="Times New Roman" w:hAnsi="Times New Roman" w:cs="Times New Roman"/>
          <w:b/>
          <w:sz w:val="24"/>
          <w:szCs w:val="24"/>
          <w:lang w:val="en-US"/>
        </w:rPr>
        <w:t>Abstrac</w:t>
      </w:r>
      <w:r>
        <w:rPr>
          <w:rFonts w:ascii="Times New Roman" w:hAnsi="Times New Roman" w:cs="Times New Roman"/>
          <w:b/>
          <w:sz w:val="24"/>
          <w:szCs w:val="24"/>
          <w:lang w:val="en-US"/>
        </w:rPr>
        <w:t>t</w:t>
      </w:r>
    </w:p>
    <w:p w14:paraId="79E48D7D" w14:textId="4F81327E" w:rsidR="00AD1F78" w:rsidRDefault="00AD1F78" w:rsidP="00AD1F78">
      <w:pPr>
        <w:spacing w:line="240" w:lineRule="auto"/>
        <w:contextualSpacing/>
        <w:jc w:val="both"/>
        <w:rPr>
          <w:rFonts w:ascii="Times New Roman" w:hAnsi="Times New Roman" w:cs="Times New Roman"/>
          <w:i/>
          <w:iCs/>
          <w:sz w:val="24"/>
          <w:szCs w:val="24"/>
          <w:lang w:val="en-US"/>
        </w:rPr>
      </w:pPr>
      <w:r w:rsidRPr="0005561B">
        <w:rPr>
          <w:rFonts w:ascii="Times New Roman" w:hAnsi="Times New Roman" w:cs="Times New Roman"/>
          <w:i/>
          <w:iCs/>
          <w:sz w:val="24"/>
          <w:szCs w:val="24"/>
          <w:lang w:val="en-US"/>
        </w:rPr>
        <w:t xml:space="preserve">The concept of voice has become crucial within academic discourse, where texts constitute sites for enacting identity. </w:t>
      </w:r>
      <w:proofErr w:type="gramStart"/>
      <w:r w:rsidRPr="0005561B">
        <w:rPr>
          <w:rFonts w:ascii="Times New Roman" w:hAnsi="Times New Roman" w:cs="Times New Roman"/>
          <w:i/>
          <w:iCs/>
          <w:sz w:val="24"/>
          <w:szCs w:val="24"/>
          <w:lang w:val="en-US"/>
        </w:rPr>
        <w:t>In spite of</w:t>
      </w:r>
      <w:proofErr w:type="gramEnd"/>
      <w:r w:rsidRPr="0005561B">
        <w:rPr>
          <w:rFonts w:ascii="Times New Roman" w:hAnsi="Times New Roman" w:cs="Times New Roman"/>
          <w:i/>
          <w:iCs/>
          <w:sz w:val="24"/>
          <w:szCs w:val="24"/>
          <w:lang w:val="en-US"/>
        </w:rPr>
        <w:t xml:space="preserve"> the recognition that expressing authorial voice in writing constitutes a salient feature of academic writing, various studies have pointed out that there appears to be a fair amount of trepidation when it comes to the expression of authorial voice in academic texts, especially so for L2 writers. The argument has been that L2 writers unlike </w:t>
      </w:r>
      <w:proofErr w:type="spellStart"/>
      <w:r w:rsidRPr="0005561B">
        <w:rPr>
          <w:rFonts w:ascii="Times New Roman" w:hAnsi="Times New Roman" w:cs="Times New Roman"/>
          <w:i/>
          <w:iCs/>
          <w:sz w:val="24"/>
          <w:szCs w:val="24"/>
          <w:lang w:val="en-US"/>
        </w:rPr>
        <w:t>L1</w:t>
      </w:r>
      <w:proofErr w:type="spellEnd"/>
      <w:r w:rsidRPr="0005561B">
        <w:rPr>
          <w:rFonts w:ascii="Times New Roman" w:hAnsi="Times New Roman" w:cs="Times New Roman"/>
          <w:i/>
          <w:iCs/>
          <w:sz w:val="24"/>
          <w:szCs w:val="24"/>
          <w:lang w:val="en-US"/>
        </w:rPr>
        <w:t xml:space="preserve"> writers are more likely to suppress authorial voice in academic writing. This argument identifies the L2 status as the underlying cause of the lack of voice in writing. This study departs from this assumption by examining the relationship between the expression of authorial voice and the cultural location of the journals in which articles are published. It examines authorial voice in the methodology sections of research articles published in Western and African journals. Methodology sections extracted from 60 journal articles from two broad disciplines – Arts and Social Sciences constituted the corpus for the study. Using Halliday’s transitivity framework, the study revealed that within the methodology section, there is a general tendency to diminish authorial voice and that this is reflected </w:t>
      </w:r>
      <w:proofErr w:type="gramStart"/>
      <w:r w:rsidRPr="0005561B">
        <w:rPr>
          <w:rFonts w:ascii="Times New Roman" w:hAnsi="Times New Roman" w:cs="Times New Roman"/>
          <w:i/>
          <w:iCs/>
          <w:sz w:val="24"/>
          <w:szCs w:val="24"/>
          <w:lang w:val="en-US"/>
        </w:rPr>
        <w:t>in the nature of first-person</w:t>
      </w:r>
      <w:proofErr w:type="gramEnd"/>
      <w:r w:rsidRPr="0005561B">
        <w:rPr>
          <w:rFonts w:ascii="Times New Roman" w:hAnsi="Times New Roman" w:cs="Times New Roman"/>
          <w:i/>
          <w:iCs/>
          <w:sz w:val="24"/>
          <w:szCs w:val="24"/>
          <w:lang w:val="en-US"/>
        </w:rPr>
        <w:t xml:space="preserve"> pronoun usage and in the distribution of the transitivity patterns across the corpus. Three authorial categories were created to explore how the nature of authorship influences the expression of voice: (a) single-authored, (b) co-authored and (c) multiple-authored. The first finding of this study is that the first person is not used extensively in the methodology section of RAs irrespective of the journal category. It was also found that single authors who publish in African journals have a comparatively diminished presence reflected in the use of the first person. Thirdly, the study has revealed that despite a general preference for expressing collective voice and presence across the two journal categories, and authorial categories, single authors who publish in African journals have a preference for the pluralization of voice and presence indicated in the high incidence of the </w:t>
      </w:r>
      <w:proofErr w:type="gramStart"/>
      <w:r w:rsidRPr="0005561B">
        <w:rPr>
          <w:rFonts w:ascii="Times New Roman" w:hAnsi="Times New Roman" w:cs="Times New Roman"/>
          <w:i/>
          <w:iCs/>
          <w:sz w:val="24"/>
          <w:szCs w:val="24"/>
          <w:lang w:val="en-US"/>
        </w:rPr>
        <w:t>first person</w:t>
      </w:r>
      <w:proofErr w:type="gramEnd"/>
      <w:r w:rsidRPr="0005561B">
        <w:rPr>
          <w:rFonts w:ascii="Times New Roman" w:hAnsi="Times New Roman" w:cs="Times New Roman"/>
          <w:i/>
          <w:iCs/>
          <w:sz w:val="24"/>
          <w:szCs w:val="24"/>
          <w:lang w:val="en-US"/>
        </w:rPr>
        <w:t xml:space="preserve"> plural. The study suggests that the cultural location of journals does play a subtle role in the expression of authorial voice and presence in the methodology sections of RAs. There are no deep divergences between the two categories.</w:t>
      </w:r>
    </w:p>
    <w:p w14:paraId="2A7AEA09" w14:textId="77777777" w:rsidR="0037472D" w:rsidRPr="0005561B" w:rsidRDefault="0037472D" w:rsidP="00AD1F78">
      <w:pPr>
        <w:spacing w:line="240" w:lineRule="auto"/>
        <w:contextualSpacing/>
        <w:jc w:val="both"/>
        <w:rPr>
          <w:rFonts w:ascii="Times New Roman" w:hAnsi="Times New Roman" w:cs="Times New Roman"/>
          <w:i/>
          <w:iCs/>
          <w:sz w:val="24"/>
          <w:szCs w:val="24"/>
          <w:lang w:val="en-US"/>
        </w:rPr>
      </w:pPr>
    </w:p>
    <w:p w14:paraId="5014DE95" w14:textId="77777777" w:rsidR="00AD1F78" w:rsidRPr="0037472D" w:rsidRDefault="00AD1F78" w:rsidP="00AD1F78">
      <w:pPr>
        <w:spacing w:line="240" w:lineRule="auto"/>
        <w:ind w:left="1440" w:hanging="1440"/>
        <w:contextualSpacing/>
        <w:jc w:val="both"/>
        <w:rPr>
          <w:rFonts w:ascii="Times New Roman" w:hAnsi="Times New Roman" w:cs="Times New Roman"/>
          <w:sz w:val="24"/>
          <w:szCs w:val="24"/>
          <w:lang w:val="en-US"/>
        </w:rPr>
      </w:pPr>
      <w:r w:rsidRPr="0037472D">
        <w:rPr>
          <w:rFonts w:ascii="Times New Roman" w:hAnsi="Times New Roman" w:cs="Times New Roman"/>
          <w:b/>
          <w:sz w:val="24"/>
          <w:szCs w:val="24"/>
          <w:lang w:val="en-US"/>
        </w:rPr>
        <w:t>Keywords:</w:t>
      </w:r>
      <w:r w:rsidRPr="0005561B">
        <w:rPr>
          <w:rFonts w:ascii="Times New Roman" w:hAnsi="Times New Roman" w:cs="Times New Roman"/>
          <w:i/>
          <w:iCs/>
          <w:sz w:val="24"/>
          <w:szCs w:val="24"/>
          <w:lang w:val="en-US"/>
        </w:rPr>
        <w:tab/>
        <w:t xml:space="preserve"> </w:t>
      </w:r>
      <w:r w:rsidRPr="0037472D">
        <w:rPr>
          <w:rFonts w:ascii="Times New Roman" w:hAnsi="Times New Roman" w:cs="Times New Roman"/>
          <w:sz w:val="24"/>
          <w:szCs w:val="24"/>
          <w:lang w:val="en-US"/>
        </w:rPr>
        <w:t>Authorial voice, academic discourse, research articles, transitivity, Second language</w:t>
      </w:r>
    </w:p>
    <w:p w14:paraId="57BC9604" w14:textId="77777777" w:rsidR="00AD1F78" w:rsidRDefault="00AD1F78" w:rsidP="00AD1F78">
      <w:pPr>
        <w:pStyle w:val="NoSpacing"/>
        <w:rPr>
          <w:rFonts w:ascii="Times New Roman" w:hAnsi="Times New Roman" w:cs="Times New Roman"/>
          <w:b/>
          <w:sz w:val="24"/>
          <w:szCs w:val="24"/>
          <w:lang w:val="en-US"/>
        </w:rPr>
      </w:pPr>
    </w:p>
    <w:p w14:paraId="3E600780" w14:textId="58776CC4" w:rsidR="00AD1F78" w:rsidRPr="00ED4813" w:rsidRDefault="0005561B" w:rsidP="0005561B">
      <w:pPr>
        <w:pStyle w:val="NoSpacing"/>
        <w:numPr>
          <w:ilvl w:val="0"/>
          <w:numId w:val="3"/>
        </w:numPr>
        <w:rPr>
          <w:rFonts w:ascii="Times New Roman" w:hAnsi="Times New Roman" w:cs="Times New Roman"/>
          <w:b/>
          <w:sz w:val="24"/>
          <w:szCs w:val="24"/>
          <w:lang w:val="en-US"/>
        </w:rPr>
      </w:pPr>
      <w:r w:rsidRPr="00ED4813">
        <w:rPr>
          <w:rFonts w:ascii="Times New Roman" w:hAnsi="Times New Roman" w:cs="Times New Roman"/>
          <w:b/>
          <w:sz w:val="24"/>
          <w:szCs w:val="24"/>
          <w:lang w:val="en-US"/>
        </w:rPr>
        <w:t>INTRODUCTION</w:t>
      </w:r>
    </w:p>
    <w:p w14:paraId="050C9691"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Research in academic discourse over the past two decades has led to the establishment of the view that writing constitutes a process of enacting desired identities (Canagarajah, 2014; Flowerdew &amp; Wang, 2015; Hyland 2004). The enactment of these desired identities has been seen as a function of the interactive character of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{"citationItems":[{"id":"ITEM-1","itemData":{"DOI":"10.1093/applin/22.1.58","ISSN":"01426001","abstract":"The view of written texts as embodying interaction between the writer and reader is not well established, and underlies many aspects that may be focused on in the training of novice writers of academic text. In this paper, I argue that interaction can draw on both interactive and interactional resources: interactive resources help to guide the reader through the text, while interactional resources involve the reader collaboratively in the development of the text. I use the concept of the 'reader-in-the-text' (Thompson and Thetela 1995) to explore a central form of interactional resource: the inclusion in the text of a voice that is intended to be attributable to the reader. I identify a particular set of discourse contexts in which this happens - where the writer brings in the reader's view in order to contradict it - and outline the lexico-grammatical features which signal the other voice in those contexts; and I place these in a broader perspective on written text as a stage-managed form of dialogue. The impetus for the study comes from working with novice writers; and I discuss a number of examples where written drafts were improved by exploiting the interactional resources described, and argue for the value of raising students' awareness of these resources.","author":[{"dropping-particle":"","family":"Thompson","given":"Geoff","non-dropping-particle":"","parse-names":false,"suffix":""}],"container-title":"Applied Linguistics","id":"ITEM-1","issue":"1","issued":{"date-parts":[["2001"]]},"page":"58-78","title":"Interaction in academic writing: Learning to argue with the reader","type":"article-journal","volume":"22"},"uris":["http://www.mendeley.com/documents/?uuid=33d2c384-5e23-499f-8b8e-16834eac0bd6"]}],"mendeley":{"formattedCitation":"(Thompson, 2001)","manualFormatting":"(Hyland, 2004; Thompson, 2001)","plainTextFormattedCitation":"(Thompson, 2001)","previouslyFormattedCitation":"(Thompson,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2004; Thompson,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difficult to contest the view that the interactive dimension of academic writing results in the enactment of identity because interaction implies a dialogue between the voices present </w:t>
      </w:r>
      <w:proofErr w:type="gramStart"/>
      <w:r w:rsidRPr="00ED4813">
        <w:rPr>
          <w:rFonts w:ascii="Times New Roman" w:hAnsi="Times New Roman" w:cs="Times New Roman"/>
          <w:sz w:val="24"/>
          <w:szCs w:val="24"/>
          <w:lang w:val="en-US"/>
        </w:rPr>
        <w:t>in a given</w:t>
      </w:r>
      <w:proofErr w:type="gramEnd"/>
      <w:r w:rsidRPr="00ED4813">
        <w:rPr>
          <w:rFonts w:ascii="Times New Roman" w:hAnsi="Times New Roman" w:cs="Times New Roman"/>
          <w:sz w:val="24"/>
          <w:szCs w:val="24"/>
          <w:lang w:val="en-US"/>
        </w:rPr>
        <w:t xml:space="preserve"> text. The voices of dialogue are in themselves indicative of different identities </w:t>
      </w:r>
      <w:proofErr w:type="gramStart"/>
      <w:r w:rsidRPr="00ED4813">
        <w:rPr>
          <w:rFonts w:ascii="Times New Roman" w:hAnsi="Times New Roman" w:cs="Times New Roman"/>
          <w:sz w:val="24"/>
          <w:szCs w:val="24"/>
          <w:lang w:val="en-US"/>
        </w:rPr>
        <w:t>in a given</w:t>
      </w:r>
      <w:proofErr w:type="gramEnd"/>
      <w:r w:rsidRPr="00ED4813">
        <w:rPr>
          <w:rFonts w:ascii="Times New Roman" w:hAnsi="Times New Roman" w:cs="Times New Roman"/>
          <w:sz w:val="24"/>
          <w:szCs w:val="24"/>
          <w:lang w:val="en-US"/>
        </w:rPr>
        <w:t xml:space="preserve"> text. In this context, it is clear that the foundations of the view that academic writing constitutes the enactment of identity is anchored in  the argument that identity is a discursive phenomenon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discourse","type":"article","volume":"35"},"uris":["http://www.mendeley.com/documents/?uuid=31faf846-e7a2-4c7a-9625-b1fc5fd49141"]}],"mendeley":{"formattedCitation":"(Flowerdew &amp; Wang, 2015)","plainTextFormattedCitation":"(Flowerdew &amp; Wang, 2015)","previouslyFormattedCitation":"(Flowerdew &amp; Wang,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This to say that identities are enacted and constructed by means of discourse and as such do not pre-exist their enactment and construction in discourse.</w:t>
      </w:r>
    </w:p>
    <w:p w14:paraId="4EF8DCB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In spite of the recognition of the view that academic writing is a site for the enactment of identity, there is still some reluctance on the part of authors when it comes to the explicit representation of self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 study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based on student essays, for example, shows that there is a greater tendency to represent the general through the use of the first person than there is to represent the individual author of the text. This tendency is occasioned by the adamant  position propagated by writing manuals that academic writing is an objective and impersonal activity whose goal is the communication of knowledge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{"citationItems":[{"id":"ITEM-1","itemData":{"author":[{"dropping-particle":"","family":"Hyland","given":"Ken","non-dropping-particle":"","parse-names":false,"suffix":""}],"container-title":"ELT Journal","id":"ITEM-1","issue":"4","issued":{"date-parts":[["2002"]]},"page":"351- 358","title":"Options of identity in academic writing","type":"article-journal","volume":"56"},"uris":["http://www.mendeley.com/documents/?uuid=55abce92-38ea-45e5-aeff-659ae1653348"]}],"mendeley":{"formattedCitation":"(Hyland, 2002b)","plainTextFormattedCitation":"(Hyland, 2002b)","previouslyFormattedCitation":"(Hyland, 2002b)"},"properties":{"noteIndex":0},"schema":"https://github.com/citation-style-language/schema/raw/master/csl-citation.json"}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2002b)</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Hyland (</w:t>
      </w:r>
      <w:proofErr w:type="spellStart"/>
      <w:r w:rsidRPr="00ED4813">
        <w:rPr>
          <w:rFonts w:ascii="Times New Roman" w:hAnsi="Times New Roman" w:cs="Times New Roman"/>
          <w:sz w:val="24"/>
          <w:szCs w:val="24"/>
          <w:lang w:val="en-US"/>
        </w:rPr>
        <w:t>2002b</w:t>
      </w:r>
      <w:proofErr w:type="spellEnd"/>
      <w:r w:rsidRPr="00ED4813">
        <w:rPr>
          <w:rFonts w:ascii="Times New Roman" w:hAnsi="Times New Roman" w:cs="Times New Roman"/>
          <w:sz w:val="24"/>
          <w:szCs w:val="24"/>
          <w:lang w:val="en-US"/>
        </w:rPr>
        <w:t xml:space="preserve">) points out that this </w:t>
      </w:r>
      <w:proofErr w:type="gramStart"/>
      <w:r w:rsidRPr="00ED4813">
        <w:rPr>
          <w:rFonts w:ascii="Times New Roman" w:hAnsi="Times New Roman" w:cs="Times New Roman"/>
          <w:sz w:val="24"/>
          <w:szCs w:val="24"/>
          <w:lang w:val="en-US"/>
        </w:rPr>
        <w:t>particular instruction</w:t>
      </w:r>
      <w:proofErr w:type="gramEnd"/>
      <w:r w:rsidRPr="00ED4813">
        <w:rPr>
          <w:rFonts w:ascii="Times New Roman" w:hAnsi="Times New Roman" w:cs="Times New Roman"/>
          <w:sz w:val="24"/>
          <w:szCs w:val="24"/>
          <w:lang w:val="en-US"/>
        </w:rPr>
        <w:t xml:space="preserve"> found in writing manuals is informed by a homogenous view of academic writing. Within the constraints of this homogenous view, academic writing in all its forms is seen as constituting a process for sharing research findings. </w:t>
      </w:r>
    </w:p>
    <w:p w14:paraId="3C38407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50E8D04"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Although it is generally accepted in the literature that authors have a difficulty with marking their presence in their writings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Writing","id":"ITEM-1","issue":"3","issued":{"date-parts":[["2003"]]},"note":"ESL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implications","type":"article-journal","volume":"12"},"uris":["http://www.mendeley.com/documents/?uuid=3e892144-651f-46e1-bef0-10c2eb798d4d"]},{"id":"ITEM-2","itemData":{"abstract":"See,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Pragmatics","id":"ITEM-2","issued":{"date-parts":[["2002"]]},"page":"1091-1112","title":"Authority and invisibility: authorial dentity in academic writing","type":"article-journal","volume":"34"},"uris":["http://www.mendeley.com/documents/?uuid=160f8754-714d-4f1a-b064-f54a7f4353f4"]}],"mendeley":{"formattedCitation":"(Helms-Park &amp; Stapleton, 2003; Hyland, 2002a)","plainTextFormattedCitation":"(Helms-Park &amp; Stapleton, 2003; Hyland, 2002a)","previouslyFormattedCitation":"(Helms-Park &amp; Stapleton, 2003; 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(Helms-Park &amp; Stapleton, 2003; 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greater consensus appears to be that L2 writers have a special difficulty arising from the cultural contexts and norms which shape the background of these L2 writers and students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discourse","type":"article","volume":"35"},"uris":["http://www.mendeley.com/documents/?uuid=31faf846-e7a2-4c7a-9625-b1fc5fd49141"]},{"id":"ITEM-2","itemData":{"DOI":"10.1016/j.jslw.2003.08.001","ISBN":"1060-3743","ISSN":"10603743","abstract":"This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Writing","id":"ITEM-2","issue":"3","issued":{"date-parts":[["2003"]]},"note":"ESL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implications","type":"article-journal","volume":"12"},"uris":["http://www.mendeley.com/documents/?uuid=3e892144-651f-46e1-bef0-10c2eb798d4d"]}],"mendeley":{"formattedCitation":"(Flowerdew &amp; Wang, 2015; Helms-Park &amp; Stapleton, 2003)","plainTextFormattedCitation":"(Flowerdew &amp; Wang, 2015; Helms-Park &amp; Stapleton, 2003)","previouslyFormattedCitation":"(Flowerdew &amp; Wang, 2015; Helms-Park &amp; Stapleton, 2003)"},"properties":{"noteIndex":0},"schema":"https://github.com/citation-style-language/schema/raw/master/csl-citation.json"}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Helms-Park &amp; Stapleton, 2003)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2002a)","manualFormatting":"Hyland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a study examining self-mention in L2 undergraduate writing, </w:t>
      </w:r>
      <w:proofErr w:type="gramStart"/>
      <w:r w:rsidRPr="00ED4813">
        <w:rPr>
          <w:rFonts w:ascii="Times New Roman" w:hAnsi="Times New Roman" w:cs="Times New Roman"/>
          <w:sz w:val="24"/>
          <w:szCs w:val="24"/>
          <w:lang w:val="en-US"/>
        </w:rPr>
        <w:t>comes to the conclusion</w:t>
      </w:r>
      <w:proofErr w:type="gramEnd"/>
      <w:r w:rsidRPr="00ED4813">
        <w:rPr>
          <w:rFonts w:ascii="Times New Roman" w:hAnsi="Times New Roman" w:cs="Times New Roman"/>
          <w:sz w:val="24"/>
          <w:szCs w:val="24"/>
          <w:lang w:val="en-US"/>
        </w:rPr>
        <w:t xml:space="preserve"> that L2 writers deliberately “principally chose to avoid it at points where it involved making a commitment to an interpretation or claim (p. 1106)”. This implies that L2 writers consciously subdue their own voices in the texts that they construct. The inescapable conclusion that ought to be drawn from this finding is that the L2 writer has a distinct problem when it comes to the expression of voice in academic writing. The current study departs from this finding and its inescapable conclusion by exploring the extent to which the cultural location of the journals in which academic writing is published influences the expression of authorial voice in academic writing. The hypothesis central to this study then is that the cultural location of the journal influences how authorial voice in research articles (RAs) is expressed. There are two reasons for this hypothesis. The first is that journals do not exist independent of their cultural location. This truth means that there is a dialectic between journals and the cultural location in which they exist. The second reason is that the processes of the production and publication of the RA is influenced by journal requirements. This influence will invariably have implications for the expression of authorial voice in the RAs. What is meant by cultural location is properly elaborated in the methods section of the paper.</w:t>
      </w:r>
    </w:p>
    <w:p w14:paraId="2A44C69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B837D8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 second way through which the findings about the relationship between L2 and authorial voice creates a niche for this study is that, given that this finding relates specifically to the aspects of research that involved interpretation, can it be assumed that the same deliberate attempt to diminish authorial voice and presence marks other subsections of research writing such as the methodology section? This question is imperative because the methodology section is that part of the research process where one is reasonably expected to not have any apprehension about enacting one’s presence. This position is informed by the fact that the methodology broadly constitutes a narrative that recounts the activities an individual researcher undertook </w:t>
      </w:r>
      <w:proofErr w:type="gramStart"/>
      <w:r w:rsidRPr="00ED4813">
        <w:rPr>
          <w:rFonts w:ascii="Times New Roman" w:hAnsi="Times New Roman" w:cs="Times New Roman"/>
          <w:sz w:val="24"/>
          <w:szCs w:val="24"/>
          <w:lang w:val="en-US"/>
        </w:rPr>
        <w:t>in the course of</w:t>
      </w:r>
      <w:proofErr w:type="gramEnd"/>
      <w:r w:rsidRPr="00ED4813">
        <w:rPr>
          <w:rFonts w:ascii="Times New Roman" w:hAnsi="Times New Roman" w:cs="Times New Roman"/>
          <w:sz w:val="24"/>
          <w:szCs w:val="24"/>
          <w:lang w:val="en-US"/>
        </w:rPr>
        <w:t xml:space="preserve"> the study. Within Swale’s genre theory, the methodology section of the research article is conceptualized as a genre given that it is a primary category of discourse with a defined communicative purpose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{"citationItems":[{"id":"ITEM-1","itemData":{"author":[{"dropping-particle":"","family":"Swales","given":"John M","non-dropping-particle":"","parse-names":false,"suffix":""}],"id":"ITEM-1","issued":{"date-parts":[["1990"]]},"publisher":"Cambridge University Press","publisher-place":"Cambridge","title":"Genre Analysis. English in academic and research settings","type":"book"},"uris":["http://www.mendeley.com/documents/?uuid=207e1a75-2547-4aa0-b3f4-fab6da895c98"]}],"mendeley":{"formattedCitation":"(Swales, 1990)","plainTextFormattedCitation":"(Swales, 1990)","previouslyFormattedCitation":"(Swales, 1990)"},"properties":{"noteIndex":0},"schema":"https://github.com/citation-style-language/schema/raw/master/csl-citation.json"}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(Swales, 1990)</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6E73626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B92283C"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foregoing observations underlie the research questions and objectives of this study. Firstly, since the methodology section by its nature does not call for interpretation, which perhaps is the defining characteristic of this genre, will writers who publish in African journals still demonstrate the propensity to suppress their own voice in comparison to those who publish in Western journals, and in what manner? Secondly, given that authorial voice can be marked through a variety of linguistic resources, what specific resources are used especially within the system of the clause to repress or express authorial voice? Thirdly, the study explores the extent to which the nature of authorship (that is, the number of authors of a research article) influences authorial voice in the methodology section as a sub-genre. For instance, is a single author more or less likely to suppress his/her presence in a text?</w:t>
      </w:r>
    </w:p>
    <w:p w14:paraId="111E6F86"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57A92678" w14:textId="07FD5756" w:rsidR="00AD1F78" w:rsidRPr="0005561B" w:rsidRDefault="0005561B" w:rsidP="0005561B">
      <w:pPr>
        <w:pStyle w:val="ListParagraph"/>
        <w:numPr>
          <w:ilvl w:val="0"/>
          <w:numId w:val="3"/>
        </w:numPr>
        <w:spacing w:line="240" w:lineRule="auto"/>
        <w:jc w:val="both"/>
        <w:rPr>
          <w:rFonts w:ascii="Times New Roman" w:hAnsi="Times New Roman" w:cs="Times New Roman"/>
          <w:b/>
          <w:sz w:val="24"/>
          <w:szCs w:val="24"/>
          <w:lang w:val="en-US"/>
        </w:rPr>
      </w:pPr>
      <w:r w:rsidRPr="0005561B">
        <w:rPr>
          <w:rFonts w:ascii="Times New Roman" w:hAnsi="Times New Roman" w:cs="Times New Roman"/>
          <w:b/>
          <w:sz w:val="24"/>
          <w:szCs w:val="24"/>
          <w:lang w:val="en-US"/>
        </w:rPr>
        <w:t>REVIEW OF RELATED LITERATURE ON AUTHORIAL VOICE</w:t>
      </w:r>
    </w:p>
    <w:p w14:paraId="0F35ABAE"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concept of voice, although over two decades old, is still relatively new in research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Writing","id":"ITEM-1","issued":{"date-parts":[["2014"]]},"note":"this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writing","type":"article-journal","volume":"27"},"uris":["http://www.mendeley.com/documents/?uuid=4f52634b-6708-4459-bcdb-b3bf0f680c04"]}],"mendeley":{"formattedCitation":"(Canagarajah, 2014)","plainTextFormattedCitation":"(Canagarajah, 2014)","previouslyFormattedCitation":"(Canagarajah,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(Canagarajah,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implication therefore is that there is still a lack of clarity </w:t>
      </w:r>
      <w:proofErr w:type="gramStart"/>
      <w:r w:rsidRPr="00ED4813">
        <w:rPr>
          <w:rFonts w:ascii="Times New Roman" w:hAnsi="Times New Roman" w:cs="Times New Roman"/>
          <w:sz w:val="24"/>
          <w:szCs w:val="24"/>
          <w:lang w:val="en-US"/>
        </w:rPr>
        <w:t>with regard to</w:t>
      </w:r>
      <w:proofErr w:type="gramEnd"/>
      <w:r w:rsidRPr="00ED4813">
        <w:rPr>
          <w:rFonts w:ascii="Times New Roman" w:hAnsi="Times New Roman" w:cs="Times New Roman"/>
          <w:sz w:val="24"/>
          <w:szCs w:val="24"/>
          <w:lang w:val="en-US"/>
        </w:rPr>
        <w:t xml:space="preserve"> some of the quintessential theoretical concepts relating to voice in academic writing. This is especially so given that voice is tied to the issue of identity in academic writing. An important implication of the lack of theoretical clarity occasioned by the newness of voice as an area of research in academic writing is that there appears to be a lack of distinction between voice and other concepts such as authorial presence and the metadiscoursal concept of stance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perspectives","type":"article-journal","volume":"20"},"uris":["http://www.mendeley.com/documents/?uuid=8ba17f43-ec30-4e41-baad-41e2ec4f1211"]},{"id":"ITEM-2","itemData":{"DOI":"10.1016/j.jeap.2015.07.002","ISBN":"1475-1585","ISSN":"14751585","abstract":"The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Purposes","id":"ITEM-2","issued":{"date-parts":[["2015"]]},"note":"an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writing","type":"article-journal","volume":"31"},"uris":["http://www.mendeley.com/documents/?uuid=96337a4d-2bc3-4d71-8cf9-1f088c7eb340"]}],"mendeley":{"formattedCitation":"(Çandarli, Bayyurt, &amp; Marti, 2015; Jiang, 2015; Zhao, 2017)","plainTextFormattedCitation":"(Çandarli, Bayyurt, &amp; Marti, 2015; Jiang, 2015; Zhao, 2017)","previouslyFormattedCitation":"(Çandarli, Bayyurt, &amp; Marti, 2015; Jiang, 2015;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Bayyurt, &amp; Marti, 2015; Jiang, 2015;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proofErr w:type="gramStart"/>
      <w:r w:rsidRPr="00ED4813">
        <w:rPr>
          <w:rFonts w:ascii="Times New Roman" w:hAnsi="Times New Roman" w:cs="Times New Roman"/>
          <w:sz w:val="24"/>
          <w:szCs w:val="24"/>
          <w:lang w:val="en-US"/>
        </w:rPr>
        <w:t>In spite of</w:t>
      </w:r>
      <w:proofErr w:type="gramEnd"/>
      <w:r w:rsidRPr="00ED4813">
        <w:rPr>
          <w:rFonts w:ascii="Times New Roman" w:hAnsi="Times New Roman" w:cs="Times New Roman"/>
          <w:sz w:val="24"/>
          <w:szCs w:val="24"/>
          <w:lang w:val="en-US"/>
        </w:rPr>
        <w:t xml:space="preserve"> this state of the scholarship on voice in academic discourse, it is still important to examine the various theoretical positions on voice adopted in the literature and comment on the implications of these theoretical positions for this study. Two formulations of voice related to two sets of identities in academic discourse are presented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the first formulation of voice which is seen as a feature of the Discoursal self, voice is taken to mean how a writer wants to sound and not the stance being adopted by a writer in a text. Note that how one “wants to sound” does not equate to vocalization. Its meaning is more in line with the idea of constructing a unique sense of self, </w:t>
      </w:r>
      <w:proofErr w:type="spellStart"/>
      <w:r w:rsidRPr="00ED4813">
        <w:rPr>
          <w:rFonts w:ascii="Times New Roman" w:hAnsi="Times New Roman" w:cs="Times New Roman"/>
          <w:sz w:val="24"/>
          <w:szCs w:val="24"/>
          <w:lang w:val="en-US"/>
        </w:rPr>
        <w:t>discoursally</w:t>
      </w:r>
      <w:proofErr w:type="spellEnd"/>
      <w:r w:rsidRPr="00ED4813">
        <w:rPr>
          <w:rFonts w:ascii="Times New Roman" w:hAnsi="Times New Roman" w:cs="Times New Roman"/>
          <w:sz w:val="24"/>
          <w:szCs w:val="24"/>
          <w:lang w:val="en-US"/>
        </w:rPr>
        <w:t xml:space="preserve">. This unique sense of self constitutes part of the process of constructing an identity through the voice adopted. The second definition of voice which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associates with what she terms the Self as author, is defined as the sense of the writer’s position, opinions and beliefs expressed in a text. The second notion of voice can be seen as the antecedent of the metadiscoursal concept of writer stance. </w:t>
      </w:r>
    </w:p>
    <w:p w14:paraId="1907DCC6" w14:textId="77777777" w:rsidR="00AD1F78" w:rsidRPr="00ED4813" w:rsidRDefault="00AD1F78" w:rsidP="00AD1F78">
      <w:pPr>
        <w:pStyle w:val="NoSpacing"/>
        <w:jc w:val="both"/>
        <w:rPr>
          <w:rFonts w:ascii="Times New Roman" w:hAnsi="Times New Roman" w:cs="Times New Roman"/>
          <w:sz w:val="24"/>
          <w:szCs w:val="24"/>
          <w:lang w:val="en-US"/>
        </w:rPr>
      </w:pPr>
    </w:p>
    <w:p w14:paraId="5DAD51FF" w14:textId="77777777" w:rsidR="00AD1F78" w:rsidRPr="00ED4813" w:rsidRDefault="00AD1F78" w:rsidP="0005561B">
      <w:pPr>
        <w:pStyle w:val="NoSpacing"/>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vital point that arises from the two views of voice in writing outlined above is that there is a recognition that identity in academic discourse is anchored in the idea of voice. There is an extent to which this recognition has influenced theoretical approaches to analyzing identities in academic discourse. A notable case in point 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of possible identities behind the first person pronoun in academic writing. This typology which is a continuum of authorial presence from least powerful authorial presence to most powerful authorial presence can be directly traced to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concept of the Self as author and its characterization as the writer’s voice in the sense of her or his position, opinions and beliefs.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and its relationship with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notion of voice </w:t>
      </w:r>
      <w:r w:rsidRPr="00ED4813">
        <w:rPr>
          <w:rFonts w:ascii="Times New Roman" w:hAnsi="Times New Roman" w:cs="Times New Roman"/>
          <w:sz w:val="24"/>
          <w:szCs w:val="24"/>
          <w:lang w:val="en-US"/>
        </w:rPr>
        <w:lastRenderedPageBreak/>
        <w:t>associated with the Self-as author helps us realise is that there is a conflation of voice and presence since the continuum of authorial presence is underpinned by the concept of Self-as author, which in turn is defined as a form of voice. This conflation allows us to think of authorial voice as an indicator of authorial presence. To this extent therefore, this review does not attempt to delineate authorial voice and authorial presence both at the theoretical level and in the analysis section of the paper.</w:t>
      </w:r>
    </w:p>
    <w:p w14:paraId="5D2F9B12" w14:textId="77777777" w:rsidR="00AD1F78" w:rsidRPr="00ED4813" w:rsidRDefault="00AD1F78" w:rsidP="00AD1F78">
      <w:pPr>
        <w:pStyle w:val="NoSpacing"/>
        <w:jc w:val="both"/>
        <w:rPr>
          <w:rFonts w:ascii="Times New Roman" w:hAnsi="Times New Roman" w:cs="Times New Roman"/>
          <w:sz w:val="24"/>
          <w:szCs w:val="24"/>
          <w:lang w:val="en-US"/>
        </w:rPr>
      </w:pPr>
    </w:p>
    <w:p w14:paraId="065CEFEA" w14:textId="77777777" w:rsidR="00AD1F78" w:rsidRPr="00ED4813" w:rsidRDefault="00AD1F78" w:rsidP="0005561B">
      <w:pPr>
        <w:pStyle w:val="NoSpacing"/>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state of empirical research into authorial voice in academic writing, the first observation that must to be made is that most of the studies have been interested in examining voice within the context of L2 classroom discourse and instruction, specifically within ESL and </w:t>
      </w:r>
      <w:proofErr w:type="spellStart"/>
      <w:r w:rsidRPr="00ED4813">
        <w:rPr>
          <w:rFonts w:ascii="Times New Roman" w:hAnsi="Times New Roman" w:cs="Times New Roman"/>
          <w:sz w:val="24"/>
          <w:szCs w:val="24"/>
          <w:lang w:val="en-US"/>
        </w:rPr>
        <w:t>EAP</w:t>
      </w:r>
      <w:proofErr w:type="spellEnd"/>
      <w:r w:rsidRPr="00ED4813">
        <w:rPr>
          <w:rFonts w:ascii="Times New Roman" w:hAnsi="Times New Roman" w:cs="Times New Roman"/>
          <w:sz w:val="24"/>
          <w:szCs w:val="24"/>
          <w:lang w:val="en-US"/>
        </w:rPr>
        <w:t xml:space="preserve">, the implications of culture for the expression of authorial voice, comparison of authorial voice expression between student writers and more expert writers and the implications of discipline-specific norms for authorial voice expression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Purposes","id":"ITEM-1","issued":{"date-parts":[["2015"]]},"note":"an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writing","type":"article-journal","volume":"20"},"uris":["http://www.mendeley.com/documents/?uuid=a9ac0ea8-ac38-4930-9707-194e98be3593"]},{"id":"ITEM-2","itemData":{"DOI":"10.1016/j.jeap.2015.10.001","ISSN":"14751585","abstract":"This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Purposes","id":"ITEM-2","issued":{"date-parts":[["2015"]]},"note":"the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writing","type":"article-journal","volume":"31"},"uris":["http://www.mendeley.com/documents/?uuid=96337a4d-2bc3-4d71-8cf9-1f088c7eb340"]},{"id":"ITEM-4","itemData":{"DOI":"10.1016/j.jslw.2014.09.001","ISBN":"1060-3743","ISSN":"10603743","abstract":"While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Writing","id":"ITEM-4","issued":{"date-parts":[["2014"]]},"note":"this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writing","type":"article-journal","volume":"27"},"uris":["http://www.mendeley.com/documents/?uuid=4f52634b-6708-4459-bcdb-b3bf0f680c04"]},{"id":"ITEM-5","itemData":{"DOI":"10.1016/J.JSLW.2016.06.004","ISSN":"1060-3743","abstract":"This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Writing","id":"ITEM-5","issued":{"date-parts":[["2016","9","1"]]},"page":"21-34","publisher":"JAI","title":"Interactions in L1 and L2 undergraduate student writing: Interactional metadiscourse in successful and less-successful argumentative essays","type":"article-journal","volume":"33"},"uris":["http://www.mendeley.com/documents/?uuid=8edc7220-33d6-3f52-a5eb-940aee852294"]},{"id":"ITEM-6","itemData":{"DOI":"10.1016/j.jslw.2016.06.004","ISBN":"1060-3743","ISSN":"10603743","abstract":"This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Writing","id":"ITEM-6","issued":{"date-parts":[["2016"]]},"note":"Self mention is the least used interactional metadiscourse resource. L1 student writers used more self mention resources as compared to L2 student writers\nthe paper examined the use of interactional metadisocurse resources among L1 and L2 student writers and explored the relationship between the use of such resources and the success or otherwise of argumentative writing\nNote the conclusion\nInteractional metadisocurse features may have a crucial effect on persuasive writing","page":"21-34","publisher":"Elsevier Inc.","title":"Interactions in L1 and L2 undergraduate student writing: Interactional metadiscourse in successful and less-successful argumentative essays","type":"article-journal","volume":"33"},"uris":["http://www.mendeley.com/documents/?uuid=40c0fc6f-251d-4bcc-92e8-99dcde99d733"]},{"id":"ITEM-7","itemData":{"DOI":"10.1177/0741088314527055","ISBN":"0741088314527","author":[{"dropping-particle":"","family":"Aull","given":"Laura L","non-dropping-particle":"","parse-names":false,"suffix":""},{"dropping-particle":"","family":"Lancaster","given":"Zak","non-dropping-particle":"","parse-names":false,"suffix":""}],"container-title":"Written Communication","id":"ITEM-7","issue":"2","issued":{"date-parts":[["2014"]]},"note":"This paper compares undergraduate and published academic writing in termsof the expression of stance\nmore advanced writers used stance markers more as compared to first year students","page":"151-183","title":"Linguistic Markers of Stance in Early and Advanced Academic Writing : A Corpus-based Comparison","type":"article-journal","volume":"31"},"uris":["http://www.mendeley.com/documents/?uuid=63caac14-8ca4-4763-88c6-01e06e4b2a14"]}],"mendeley":{"formattedCitation":"(Aull &amp; Lancaster, 2014; Canagarajah, 2014; Çandarli et al., 2015; Jiang, 2015; Lee &amp; Deakin, 2016a, 2016b; Zhao, 2017)","manualFormatting":"(Aull &amp; Lancaster, 2014; Canagarajah, 2014; Çandarli et al., 2015; Jiang, 2015; Lee &amp; Deakin, 2016; Zhao, 2017)","plainTextFormattedCitation":"(Aull &amp; Lancaster, 2014; Canagarajah, 2014; Çandarli et al., 2015; Jiang, 2015; Lee &amp; Deakin, 2016a, 2016b; Zhao, 2017)","previouslyFormattedCitation":"(Aull &amp; Lancaster, 2014; Canagarajah, 2014; Çandarli et al., 2015; Jiang, 2015; Lee &amp; Deakin, 2016a, 2016b;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(Aull &amp; Lancaster, 2014; Canagarajah, 2014; Çandarli et al., 2015; Jiang, 2015; Lee &amp; Deakin, 2016;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 (2015) examined the indicators of authorial presence in Turkish and American students’ argumentative writing. Among other things, their study concluded that first person pronouns constituted the least used resource for marking authorial presence in the argumentative essays produced by students. A finding of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Marti’s (2015) study that is consistent with the generally accepted position on the issue of authorial presence is that the </w:t>
      </w:r>
      <w:proofErr w:type="spellStart"/>
      <w:r w:rsidRPr="00ED4813">
        <w:rPr>
          <w:rFonts w:ascii="Times New Roman" w:hAnsi="Times New Roman" w:cs="Times New Roman"/>
          <w:sz w:val="24"/>
          <w:szCs w:val="24"/>
          <w:lang w:val="en-US"/>
        </w:rPr>
        <w:t>L1</w:t>
      </w:r>
      <w:proofErr w:type="spellEnd"/>
      <w:r w:rsidRPr="00ED4813">
        <w:rPr>
          <w:rFonts w:ascii="Times New Roman" w:hAnsi="Times New Roman" w:cs="Times New Roman"/>
          <w:sz w:val="24"/>
          <w:szCs w:val="24"/>
          <w:lang w:val="en-US"/>
        </w:rPr>
        <w:t xml:space="preserve"> student writers in this instance used significantly more first-person pronouns in their essays as compared to the L2 Turkish students.  </w:t>
      </w:r>
      <w:r w:rsidRPr="00ED4813">
        <w:rPr>
          <w:rFonts w:ascii="Times New Roman" w:hAnsi="Times New Roman" w:cs="Times New Roman"/>
          <w:noProof/>
          <w:sz w:val="24"/>
          <w:szCs w:val="24"/>
          <w:lang w:val="en-US"/>
        </w:rPr>
        <w:t>Lee and Deakin (2016)</w:t>
      </w:r>
      <w:r w:rsidRPr="00ED4813">
        <w:rPr>
          <w:rFonts w:ascii="Times New Roman" w:hAnsi="Times New Roman" w:cs="Times New Roman"/>
          <w:sz w:val="24"/>
          <w:szCs w:val="24"/>
          <w:lang w:val="en-US"/>
        </w:rPr>
        <w:t xml:space="preserve"> whose study also looked at authorial presence in student writing concluded that although self-mention, which is predominantly realized in texts through first pronouns, is the least interactional metadiscourse resource used by undergraduate writers, </w:t>
      </w:r>
      <w:proofErr w:type="spellStart"/>
      <w:r w:rsidRPr="00ED4813">
        <w:rPr>
          <w:rFonts w:ascii="Times New Roman" w:hAnsi="Times New Roman" w:cs="Times New Roman"/>
          <w:sz w:val="24"/>
          <w:szCs w:val="24"/>
          <w:lang w:val="en-US"/>
        </w:rPr>
        <w:t>L1</w:t>
      </w:r>
      <w:proofErr w:type="spellEnd"/>
      <w:r w:rsidRPr="00ED4813">
        <w:rPr>
          <w:rFonts w:ascii="Times New Roman" w:hAnsi="Times New Roman" w:cs="Times New Roman"/>
          <w:sz w:val="24"/>
          <w:szCs w:val="24"/>
          <w:lang w:val="en-US"/>
        </w:rPr>
        <w:t xml:space="preserve"> writers still used self-mention significantly more than L2 student writers.</w:t>
      </w:r>
    </w:p>
    <w:p w14:paraId="366C867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C6FBF13"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sz w:val="24"/>
          <w:szCs w:val="24"/>
          <w:lang w:val="en-US"/>
        </w:rPr>
        <w:t xml:space="preserve">Another interesting empirical perspective on voice in student writing is the one provided by </w:t>
      </w:r>
      <w:r w:rsidRPr="00ED4813">
        <w:rPr>
          <w:rFonts w:ascii="Times New Roman" w:hAnsi="Times New Roman" w:cs="Times New Roman"/>
          <w:noProof/>
          <w:sz w:val="24"/>
          <w:szCs w:val="24"/>
          <w:lang w:val="en-US"/>
        </w:rPr>
        <w:t xml:space="preserve">Zhao (2017). This study interrogates the relationship between authorial voice and the quality of argumentative essays produced by L2 writers. The important conclusion drawn from  this study is that there exists a positive correlation between authorial voice and quality of argumentative writing. Zhao’s study therefore provides evidence in support of the position that authorial voice is an important feature of argumentative writing in particular. In spite of the relevance of the findings of this study, it ought to be pointed out that the study is not without its limitations. The most significant of which relates to the nature of the data used. Students engage in writing in a variety of genres, one of which is the argumentative essay. The study would therefore have arrived at a more definitive conclusion about the relationship between voice and quality of student writing if it had relied on essays drawn from the other genres of student writing at that level. These are the narrative, expository as well as descriptive forms.  </w:t>
      </w:r>
    </w:p>
    <w:p w14:paraId="6602240D" w14:textId="77777777" w:rsidR="00AD1F78" w:rsidRPr="00ED4813" w:rsidRDefault="00AD1F78" w:rsidP="00AD1F78">
      <w:pPr>
        <w:spacing w:line="240" w:lineRule="auto"/>
        <w:contextualSpacing/>
        <w:jc w:val="both"/>
        <w:rPr>
          <w:rFonts w:ascii="Times New Roman" w:hAnsi="Times New Roman" w:cs="Times New Roman"/>
          <w:noProof/>
          <w:sz w:val="24"/>
          <w:szCs w:val="24"/>
          <w:lang w:val="en-US"/>
        </w:rPr>
      </w:pPr>
    </w:p>
    <w:p w14:paraId="7B2DF324"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noProof/>
          <w:sz w:val="24"/>
          <w:szCs w:val="24"/>
          <w:lang w:val="en-US"/>
        </w:rPr>
        <w:t xml:space="preserve">The conclusion that can be drawn from an examination of the literature is that, the issue of voice appears to have been examined more extensively in the area of student writing than is the case in expert writing. Given  the importance of voice within the post-process of academic writing within which writing is envisioned as the process of enacting identity, it is necessary that research pays attention to the issue of voice and authorial presence in more advanced genres such as the RA. </w:t>
      </w:r>
    </w:p>
    <w:p w14:paraId="2CD5A5EA" w14:textId="427170CF" w:rsidR="00AD1F78" w:rsidRPr="00ED4813" w:rsidRDefault="0005561B" w:rsidP="0005561B">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lastRenderedPageBreak/>
        <w:t>METHODS SECTION</w:t>
      </w:r>
    </w:p>
    <w:p w14:paraId="1B4AC2F9" w14:textId="77777777" w:rsidR="00AD1F78" w:rsidRPr="00ED4813" w:rsidRDefault="00AD1F78" w:rsidP="00AD1F78">
      <w:pPr>
        <w:spacing w:line="240" w:lineRule="auto"/>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provides details concerning how the study was conducted. The processes used in the selection of the data and the techniques employed in processing are elaborated. The methods section also discusses the analytical approach used in analyzing the data.</w:t>
      </w:r>
    </w:p>
    <w:p w14:paraId="1E269071" w14:textId="2949FDFD"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Data</w:t>
      </w:r>
    </w:p>
    <w:p w14:paraId="029BC4A0" w14:textId="77777777" w:rsidR="0005561B"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Data for the study was drawn from two broad sources: African journals and Western journals. The use of African and Western here needs some elaboration especially because of the historically problematic nature of the term Western. Western is used in its geopolitical sense to mean journals that are established, hosted and/or published by organisations and institutions that are geographically located in Western and Northern Europe, North America as well as Australia and New Zealand. African is used to refer to sub-Saharan Africa. </w:t>
      </w:r>
    </w:p>
    <w:p w14:paraId="3219F7A1" w14:textId="77777777" w:rsidR="0005561B"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selection of the journals, an African journal, </w:t>
      </w:r>
      <w:proofErr w:type="gramStart"/>
      <w:r w:rsidRPr="00ED4813">
        <w:rPr>
          <w:rFonts w:ascii="Times New Roman" w:hAnsi="Times New Roman" w:cs="Times New Roman"/>
          <w:sz w:val="24"/>
          <w:szCs w:val="24"/>
          <w:lang w:val="en-US"/>
        </w:rPr>
        <w:t>first of all</w:t>
      </w:r>
      <w:proofErr w:type="gramEnd"/>
      <w:r w:rsidRPr="00ED4813">
        <w:rPr>
          <w:rFonts w:ascii="Times New Roman" w:hAnsi="Times New Roman" w:cs="Times New Roman"/>
          <w:sz w:val="24"/>
          <w:szCs w:val="24"/>
          <w:lang w:val="en-US"/>
        </w:rPr>
        <w:t xml:space="preserve">, refers to journals listed on the African journals Online database. Since the African journals online database is a collection of journals produced on the continent, it was reasonably assumed that any journal included in the database constitutes an African journal. This assumption about journals from the database, </w:t>
      </w:r>
      <w:proofErr w:type="gramStart"/>
      <w:r w:rsidRPr="00ED4813">
        <w:rPr>
          <w:rFonts w:ascii="Times New Roman" w:hAnsi="Times New Roman" w:cs="Times New Roman"/>
          <w:sz w:val="24"/>
          <w:szCs w:val="24"/>
          <w:lang w:val="en-US"/>
        </w:rPr>
        <w:t>in spite of</w:t>
      </w:r>
      <w:proofErr w:type="gramEnd"/>
      <w:r w:rsidRPr="00ED4813">
        <w:rPr>
          <w:rFonts w:ascii="Times New Roman" w:hAnsi="Times New Roman" w:cs="Times New Roman"/>
          <w:sz w:val="24"/>
          <w:szCs w:val="24"/>
          <w:lang w:val="en-US"/>
        </w:rPr>
        <w:t xml:space="preserve"> its reasonableness, only served as a useful starting point in selecting the journals included in this study. Information regarding the host institution/ organisations that own and run the journals found at each journal’s homepage was examined to ascertain their classification as African journals.  Western journals constitute journals that are hosted and published by Western located institutions.  Most of the journals classified as Western were journals published by Western organisations such as Elsevier and de Gruyter and were drawn from the SCOPUS database. Other journals were found to have been established and run by departments in institutions of higher learning in the West. </w:t>
      </w:r>
    </w:p>
    <w:p w14:paraId="48800B8D" w14:textId="2CD2E7F9"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It is important to admit here that there were journals established and run by African institutions, but which were published by or in conjunction with Western organisations. A case in point is </w:t>
      </w:r>
      <w:r w:rsidRPr="00ED4813">
        <w:rPr>
          <w:rFonts w:ascii="Times New Roman" w:hAnsi="Times New Roman" w:cs="Times New Roman"/>
          <w:i/>
          <w:iCs/>
          <w:sz w:val="24"/>
          <w:szCs w:val="24"/>
          <w:lang w:val="en-US"/>
        </w:rPr>
        <w:t xml:space="preserve">South African Journal of African Languages, </w:t>
      </w:r>
      <w:r w:rsidRPr="00ED4813">
        <w:rPr>
          <w:rFonts w:ascii="Times New Roman" w:hAnsi="Times New Roman" w:cs="Times New Roman"/>
          <w:sz w:val="24"/>
          <w:szCs w:val="24"/>
          <w:lang w:val="en-US"/>
        </w:rPr>
        <w:t xml:space="preserve">which, though established by the African Language Association of Southern Africa and hosted at the Department of African Languages of the University of South Africa, is published with Taylor and Francis, a Western organisation. In such cases as the </w:t>
      </w:r>
      <w:r w:rsidRPr="00ED4813">
        <w:rPr>
          <w:rFonts w:ascii="Times New Roman" w:hAnsi="Times New Roman" w:cs="Times New Roman"/>
          <w:i/>
          <w:iCs/>
          <w:sz w:val="24"/>
          <w:szCs w:val="24"/>
          <w:lang w:val="en-US"/>
        </w:rPr>
        <w:t>Southern Africa Journal of African Languages,</w:t>
      </w:r>
      <w:r w:rsidRPr="00ED4813">
        <w:rPr>
          <w:rFonts w:ascii="Times New Roman" w:hAnsi="Times New Roman" w:cs="Times New Roman"/>
          <w:sz w:val="24"/>
          <w:szCs w:val="24"/>
          <w:lang w:val="en-US"/>
        </w:rPr>
        <w:t xml:space="preserve"> the journal was classified as an African journal. The primary criterion for establishing whether a journal is Western or African is therefore taken to be the location of the organisation that has established, hosts, or runs the journal. The location of the publisher is the secondary criterion. In instances where the primary criterion and the secondary criterion diverge, the primary criterion took precedence.</w:t>
      </w:r>
    </w:p>
    <w:p w14:paraId="73480B8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EECB5A"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table below provides a summary of the journals from which articles were extracted for the study. The table lists the journals and indicates the category each journal belongs to.</w:t>
      </w:r>
    </w:p>
    <w:p w14:paraId="3CFC140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997D0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45E54A0"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1E16B3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FDB2F2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6AD46B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3"/>
        <w:tblW w:w="0" w:type="auto"/>
        <w:tblLook w:val="04A0" w:firstRow="1" w:lastRow="0" w:firstColumn="1" w:lastColumn="0" w:noHBand="0" w:noVBand="1"/>
      </w:tblPr>
      <w:tblGrid>
        <w:gridCol w:w="4099"/>
        <w:gridCol w:w="4124"/>
      </w:tblGrid>
      <w:tr w:rsidR="00AD1F78" w:rsidRPr="00ED4813" w14:paraId="271EF3A1"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07E6F89" w14:textId="77777777" w:rsidR="00AD1F78" w:rsidRPr="00D24B03" w:rsidRDefault="00AD1F78" w:rsidP="003E0B37">
            <w:pPr>
              <w:contextualSpacing/>
              <w:jc w:val="center"/>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 xml:space="preserve">Western journals </w:t>
            </w:r>
          </w:p>
        </w:tc>
        <w:tc>
          <w:tcPr>
            <w:tcW w:w="4675" w:type="dxa"/>
          </w:tcPr>
          <w:p w14:paraId="7D89B62E" w14:textId="77777777" w:rsidR="00AD1F78" w:rsidRPr="00D24B03" w:rsidRDefault="00AD1F78" w:rsidP="003E0B37">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African journals</w:t>
            </w:r>
          </w:p>
        </w:tc>
      </w:tr>
      <w:tr w:rsidR="00AD1F78" w:rsidRPr="00ED4813" w14:paraId="239A472F" w14:textId="77777777" w:rsidTr="003E0B37">
        <w:trPr>
          <w:cnfStyle w:val="000000100000" w:firstRow="0" w:lastRow="0" w:firstColumn="0" w:lastColumn="0" w:oddVBand="0" w:evenVBand="0" w:oddHBand="1" w:evenHBand="0" w:firstRowFirstColumn="0" w:firstRowLastColumn="0" w:lastRowFirstColumn="0" w:lastRowLastColumn="0"/>
          <w:trHeight w:val="3307"/>
        </w:trPr>
        <w:tc>
          <w:tcPr>
            <w:cnfStyle w:val="001000000000" w:firstRow="0" w:lastRow="0" w:firstColumn="1" w:lastColumn="0" w:oddVBand="0" w:evenVBand="0" w:oddHBand="0" w:evenHBand="0" w:firstRowFirstColumn="0" w:firstRowLastColumn="0" w:lastRowFirstColumn="0" w:lastRowLastColumn="0"/>
            <w:tcW w:w="4675" w:type="dxa"/>
          </w:tcPr>
          <w:p w14:paraId="6975372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eastAsia="Gulliver" w:hAnsi="Times New Roman" w:cs="Times New Roman"/>
                <w:sz w:val="20"/>
                <w:szCs w:val="20"/>
              </w:rPr>
              <w:lastRenderedPageBreak/>
              <w:t>Journal of International Economics</w:t>
            </w:r>
          </w:p>
          <w:p w14:paraId="50D116C6"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Journal of Second Language Writing</w:t>
            </w:r>
          </w:p>
          <w:p w14:paraId="00639AB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Journal of English </w:t>
            </w:r>
            <w:proofErr w:type="gramStart"/>
            <w:r w:rsidRPr="00D24B03">
              <w:rPr>
                <w:rFonts w:ascii="Times New Roman" w:hAnsi="Times New Roman" w:cs="Times New Roman"/>
                <w:sz w:val="20"/>
                <w:szCs w:val="20"/>
              </w:rPr>
              <w:t>For</w:t>
            </w:r>
            <w:proofErr w:type="gramEnd"/>
            <w:r w:rsidRPr="00D24B03">
              <w:rPr>
                <w:rFonts w:ascii="Times New Roman" w:hAnsi="Times New Roman" w:cs="Times New Roman"/>
                <w:sz w:val="20"/>
                <w:szCs w:val="20"/>
              </w:rPr>
              <w:t xml:space="preserve"> Academic Purposes</w:t>
            </w:r>
          </w:p>
          <w:p w14:paraId="083286AB"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 American Economic Association</w:t>
            </w:r>
          </w:p>
          <w:p w14:paraId="15650619"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Language Teaching Research</w:t>
            </w:r>
          </w:p>
          <w:p w14:paraId="5FA7A2DF"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Discourse Studies</w:t>
            </w:r>
          </w:p>
          <w:p w14:paraId="3D201FA3"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Economia</w:t>
            </w:r>
          </w:p>
          <w:p w14:paraId="146A917A"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European Economic Review</w:t>
            </w:r>
          </w:p>
          <w:p w14:paraId="575B9FF4"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International Journal of Applied Linguistics</w:t>
            </w:r>
          </w:p>
          <w:p w14:paraId="71143B0A" w14:textId="77777777" w:rsidR="00AD1F78" w:rsidRPr="00D24B03" w:rsidRDefault="00AD1F78" w:rsidP="003E0B37">
            <w:pPr>
              <w:rPr>
                <w:rFonts w:ascii="Times New Roman" w:hAnsi="Times New Roman" w:cs="Times New Roman"/>
                <w:i w:val="0"/>
                <w:iCs w:val="0"/>
                <w:sz w:val="20"/>
                <w:szCs w:val="20"/>
              </w:rPr>
            </w:pPr>
            <w:r w:rsidRPr="00D24B03">
              <w:rPr>
                <w:rFonts w:ascii="Times New Roman" w:hAnsi="Times New Roman" w:cs="Times New Roman"/>
                <w:sz w:val="20"/>
                <w:szCs w:val="20"/>
              </w:rPr>
              <w:t>The Quarterly Journal of Economics</w:t>
            </w:r>
          </w:p>
        </w:tc>
        <w:tc>
          <w:tcPr>
            <w:tcW w:w="4675" w:type="dxa"/>
          </w:tcPr>
          <w:p w14:paraId="3029E1F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Southern African Business Review</w:t>
            </w:r>
          </w:p>
          <w:p w14:paraId="51CDEFBB"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Economic and Management Sciences</w:t>
            </w:r>
          </w:p>
          <w:p w14:paraId="6472CB92"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 xml:space="preserve"> Ghana Journal of Linguistics</w:t>
            </w:r>
          </w:p>
          <w:p w14:paraId="22F89CC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African Languages</w:t>
            </w:r>
          </w:p>
          <w:p w14:paraId="36A4022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Ethiopian Journal of Economics</w:t>
            </w:r>
          </w:p>
          <w:p w14:paraId="4CF31C9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Legon Journal of The Humanities</w:t>
            </w:r>
          </w:p>
          <w:p w14:paraId="259C637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Nordic Journal of African Studies</w:t>
            </w:r>
          </w:p>
          <w:p w14:paraId="7BA1605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Nigeria Journal of Business Administration</w:t>
            </w:r>
          </w:p>
          <w:p w14:paraId="78F9D0B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Nebula</w:t>
            </w:r>
          </w:p>
          <w:p w14:paraId="22C8873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Africa Development</w:t>
            </w:r>
          </w:p>
          <w:p w14:paraId="01F7621C"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0A7B709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3C9B0EF9"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r>
      <w:tr w:rsidR="00AD1F78" w:rsidRPr="00ED4813" w14:paraId="4EB8BE14" w14:textId="77777777" w:rsidTr="003E0B37">
        <w:trPr>
          <w:trHeight w:val="477"/>
        </w:trPr>
        <w:tc>
          <w:tcPr>
            <w:cnfStyle w:val="001000000000" w:firstRow="0" w:lastRow="0" w:firstColumn="1" w:lastColumn="0" w:oddVBand="0" w:evenVBand="0" w:oddHBand="0" w:evenHBand="0" w:firstRowFirstColumn="0" w:firstRowLastColumn="0" w:lastRowFirstColumn="0" w:lastRowLastColumn="0"/>
            <w:tcW w:w="4675" w:type="dxa"/>
          </w:tcPr>
          <w:p w14:paraId="70A98D5E" w14:textId="77777777" w:rsidR="00AD1F78" w:rsidRPr="00D24B03" w:rsidRDefault="00AD1F78" w:rsidP="003E0B37">
            <w:pPr>
              <w:contextualSpacing/>
              <w:jc w:val="both"/>
              <w:rPr>
                <w:rFonts w:ascii="Times New Roman" w:hAnsi="Times New Roman" w:cs="Times New Roman"/>
                <w:i w:val="0"/>
                <w:iCs w:val="0"/>
                <w:sz w:val="20"/>
                <w:szCs w:val="20"/>
              </w:rPr>
            </w:pPr>
            <w:r w:rsidRPr="00D24B03">
              <w:rPr>
                <w:rFonts w:ascii="Times New Roman" w:hAnsi="Times New Roman" w:cs="Times New Roman"/>
                <w:sz w:val="20"/>
                <w:szCs w:val="20"/>
                <w:lang w:val="en-US"/>
              </w:rPr>
              <w:t>Sub-total= 10</w:t>
            </w:r>
          </w:p>
        </w:tc>
        <w:tc>
          <w:tcPr>
            <w:tcW w:w="4675" w:type="dxa"/>
          </w:tcPr>
          <w:p w14:paraId="33A1514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D24B03">
              <w:rPr>
                <w:rFonts w:ascii="Times New Roman" w:hAnsi="Times New Roman" w:cs="Times New Roman"/>
                <w:b/>
                <w:bCs/>
                <w:i/>
                <w:iCs/>
                <w:sz w:val="20"/>
                <w:szCs w:val="20"/>
              </w:rPr>
              <w:t>Sub-total= 10</w:t>
            </w:r>
          </w:p>
        </w:tc>
      </w:tr>
      <w:tr w:rsidR="00AD1F78" w:rsidRPr="00ED4813" w14:paraId="4A282643" w14:textId="77777777" w:rsidTr="003E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60ED91" w14:textId="77777777" w:rsidR="00AD1F78" w:rsidRPr="00D24B03" w:rsidRDefault="00AD1F78" w:rsidP="003E0B37">
            <w:pPr>
              <w:contextualSpacing/>
              <w:jc w:val="both"/>
              <w:rPr>
                <w:rFonts w:ascii="Times New Roman" w:hAnsi="Times New Roman" w:cs="Times New Roman"/>
                <w:sz w:val="20"/>
                <w:szCs w:val="20"/>
                <w:lang w:val="en-US"/>
              </w:rPr>
            </w:pPr>
          </w:p>
        </w:tc>
        <w:tc>
          <w:tcPr>
            <w:tcW w:w="4675" w:type="dxa"/>
          </w:tcPr>
          <w:p w14:paraId="4186A78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Total number of journals= 20</w:t>
            </w:r>
          </w:p>
          <w:p w14:paraId="65D57CF8"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0150AEF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1: </w:t>
      </w:r>
      <w:proofErr w:type="spellStart"/>
      <w:r w:rsidRPr="00ED4813">
        <w:rPr>
          <w:rFonts w:ascii="Times New Roman" w:hAnsi="Times New Roman" w:cs="Times New Roman"/>
          <w:sz w:val="24"/>
          <w:szCs w:val="24"/>
          <w:lang w:val="en-US"/>
        </w:rPr>
        <w:t>Categorisation</w:t>
      </w:r>
      <w:proofErr w:type="spellEnd"/>
      <w:r w:rsidRPr="00ED4813">
        <w:rPr>
          <w:rFonts w:ascii="Times New Roman" w:hAnsi="Times New Roman" w:cs="Times New Roman"/>
          <w:sz w:val="24"/>
          <w:szCs w:val="24"/>
          <w:lang w:val="en-US"/>
        </w:rPr>
        <w:t xml:space="preserve"> of journals</w:t>
      </w:r>
    </w:p>
    <w:p w14:paraId="0F54C5F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23A9FB2"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table above indicates that a total of twenty (20) journals were sampled as the source of the articles for this study. Ten (10) each for the two categories established. In terms of how these twenty (20) journals were selected, the first basis for selecting a journal was the criteria already discussed in the preceding paragraph. Journals that met these criteria were randomly selected as the sources of articles for the study. Each of the journals selected provided at least two RAs for the study. The years in which journal articles were published did not constitute part of the criteria for selecting the journals and extracting the journal articles because the study was not interested in exploring any diachronic dimension of authorial voice in the methodology section of research articles. In other words, the study did not focus on the ways the realization of authorial voice through linguistic choices made in the methodology section of the RAs may have changed over time. Another factor in the selection of the journals which served as source of the articles used in this study is that of disciplinarity. The journals used in the study can be said to belong to two broad disciplines. The humanities and the social sciences. Journals that publish manuscripts in three sub-disciplines of the humanities – Linguistics, Discourse Studies and English for Academic Purposes were selected. For the social sciences, journals that publish articles in the sub-disciplines of Economics and Business were selected. Purpose and convenience determined the discipline-based selection of the journals. </w:t>
      </w:r>
      <w:proofErr w:type="gramStart"/>
      <w:r w:rsidRPr="00ED4813">
        <w:rPr>
          <w:rFonts w:ascii="Times New Roman" w:hAnsi="Times New Roman" w:cs="Times New Roman"/>
          <w:sz w:val="24"/>
          <w:szCs w:val="24"/>
          <w:lang w:val="en-US"/>
        </w:rPr>
        <w:t>With regard to</w:t>
      </w:r>
      <w:proofErr w:type="gramEnd"/>
      <w:r w:rsidRPr="00ED4813">
        <w:rPr>
          <w:rFonts w:ascii="Times New Roman" w:hAnsi="Times New Roman" w:cs="Times New Roman"/>
          <w:sz w:val="24"/>
          <w:szCs w:val="24"/>
          <w:lang w:val="en-US"/>
        </w:rPr>
        <w:t xml:space="preserve"> purpose, disciplines which mainly rely on empirical studies are chosen because they generally tend to have clearly indicated methodology sections. Convenience also played a role in the sampling process. Journals that were easily accessible during the data collection process were selected once they met the primary criteria already outlined. </w:t>
      </w:r>
    </w:p>
    <w:p w14:paraId="5E0D394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 </w:t>
      </w:r>
    </w:p>
    <w:p w14:paraId="3C5B5792"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all, sixty (60) RAs were collected to form the corpus for the study. The RAs were drawn from the two broad disciplines already indicated in the paragraphs above. Since the overriding goal of the study was to examine the expression of authorial voice and presence in the methodology section of articles published in African journals and in Western journals, the need to establish a representative sample was recognised. Thirty (30) of the articles selected were from African journals and the other thirty (30) from Western journals. This therefore ensured equal representation in terms of </w:t>
      </w:r>
      <w:r w:rsidRPr="00ED4813">
        <w:rPr>
          <w:rFonts w:ascii="Times New Roman" w:hAnsi="Times New Roman" w:cs="Times New Roman"/>
          <w:sz w:val="24"/>
          <w:szCs w:val="24"/>
          <w:lang w:val="en-US"/>
        </w:rPr>
        <w:lastRenderedPageBreak/>
        <w:t>quantity. Table 2 below provides a summary of the distribution of RAs across journal type as well as discipline.</w:t>
      </w:r>
    </w:p>
    <w:p w14:paraId="3003A5D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6FEA63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8217" w:type="dxa"/>
        <w:tblLook w:val="04A0" w:firstRow="1" w:lastRow="0" w:firstColumn="1" w:lastColumn="0" w:noHBand="0" w:noVBand="1"/>
      </w:tblPr>
      <w:tblGrid>
        <w:gridCol w:w="2405"/>
        <w:gridCol w:w="3402"/>
        <w:gridCol w:w="2410"/>
      </w:tblGrid>
      <w:tr w:rsidR="00AD1F78" w:rsidRPr="00D24B03" w14:paraId="0B2D3D63" w14:textId="77777777" w:rsidTr="00977961">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405" w:type="dxa"/>
          </w:tcPr>
          <w:p w14:paraId="423B55C9" w14:textId="77777777" w:rsidR="00AD1F78" w:rsidRPr="00D24B03" w:rsidRDefault="00AD1F78" w:rsidP="003E0B37">
            <w:pPr>
              <w:contextualSpacing/>
              <w:jc w:val="both"/>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Journal Description</w:t>
            </w:r>
          </w:p>
        </w:tc>
        <w:tc>
          <w:tcPr>
            <w:tcW w:w="3402" w:type="dxa"/>
          </w:tcPr>
          <w:p w14:paraId="7956D6A2" w14:textId="77777777"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No. of Articles</w:t>
            </w:r>
          </w:p>
        </w:tc>
        <w:tc>
          <w:tcPr>
            <w:tcW w:w="2410" w:type="dxa"/>
          </w:tcPr>
          <w:p w14:paraId="13750428" w14:textId="77777777" w:rsidR="00AD1F78" w:rsidRPr="00D24B03" w:rsidRDefault="00AD1F78" w:rsidP="003E0B3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Corpus Size</w:t>
            </w:r>
          </w:p>
        </w:tc>
      </w:tr>
      <w:tr w:rsidR="00AD1F78" w:rsidRPr="00D24B03" w14:paraId="238E4C04" w14:textId="77777777" w:rsidTr="00977961">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2405" w:type="dxa"/>
          </w:tcPr>
          <w:p w14:paraId="6198C40C"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 xml:space="preserve">African </w:t>
            </w:r>
          </w:p>
        </w:tc>
        <w:tc>
          <w:tcPr>
            <w:tcW w:w="3402" w:type="dxa"/>
          </w:tcPr>
          <w:p w14:paraId="3CA5EC5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14</w:t>
            </w:r>
          </w:p>
          <w:p w14:paraId="446848E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16</w:t>
            </w:r>
          </w:p>
          <w:p w14:paraId="6FC19F7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720F27AA"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4A718EC8"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6,376 words</w:t>
            </w:r>
          </w:p>
          <w:p w14:paraId="017F696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8,586 words</w:t>
            </w:r>
          </w:p>
          <w:p w14:paraId="0FFB2043"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30115247"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14926</w:t>
            </w:r>
          </w:p>
        </w:tc>
      </w:tr>
      <w:tr w:rsidR="00AD1F78" w:rsidRPr="00D24B03" w14:paraId="273627B1" w14:textId="77777777" w:rsidTr="00977961">
        <w:trPr>
          <w:trHeight w:val="429"/>
        </w:trPr>
        <w:tc>
          <w:tcPr>
            <w:cnfStyle w:val="001000000000" w:firstRow="0" w:lastRow="0" w:firstColumn="1" w:lastColumn="0" w:oddVBand="0" w:evenVBand="0" w:oddHBand="0" w:evenHBand="0" w:firstRowFirstColumn="0" w:firstRowLastColumn="0" w:lastRowFirstColumn="0" w:lastRowLastColumn="0"/>
            <w:tcW w:w="2405" w:type="dxa"/>
          </w:tcPr>
          <w:p w14:paraId="25070BF6"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Western</w:t>
            </w:r>
          </w:p>
        </w:tc>
        <w:tc>
          <w:tcPr>
            <w:tcW w:w="3402" w:type="dxa"/>
          </w:tcPr>
          <w:p w14:paraId="1A6297A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15</w:t>
            </w:r>
          </w:p>
          <w:p w14:paraId="536185A0"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15</w:t>
            </w:r>
          </w:p>
          <w:p w14:paraId="5F502F0A"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222987F9"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2E52202B"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8,127 words</w:t>
            </w:r>
          </w:p>
          <w:p w14:paraId="1FA8DAC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13,071 words</w:t>
            </w:r>
          </w:p>
          <w:p w14:paraId="2BDCDC6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52FF4CE7"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 xml:space="preserve">                            21,198</w:t>
            </w:r>
          </w:p>
        </w:tc>
      </w:tr>
      <w:tr w:rsidR="00AD1F78" w:rsidRPr="00D24B03" w14:paraId="51CD463C" w14:textId="77777777" w:rsidTr="0097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39D68BF"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Total</w:t>
            </w:r>
          </w:p>
        </w:tc>
        <w:tc>
          <w:tcPr>
            <w:tcW w:w="3402" w:type="dxa"/>
          </w:tcPr>
          <w:p w14:paraId="28C8511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60</w:t>
            </w:r>
          </w:p>
        </w:tc>
        <w:tc>
          <w:tcPr>
            <w:tcW w:w="2410" w:type="dxa"/>
          </w:tcPr>
          <w:p w14:paraId="27DC845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36,124</w:t>
            </w:r>
          </w:p>
        </w:tc>
      </w:tr>
    </w:tbl>
    <w:p w14:paraId="4B0C3CB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2: Summary description of data</w:t>
      </w:r>
    </w:p>
    <w:p w14:paraId="2F823F4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2C257DE" w14:textId="28D52548"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Processing </w:t>
      </w:r>
      <w:r w:rsidR="0005561B">
        <w:rPr>
          <w:rFonts w:ascii="Times New Roman" w:hAnsi="Times New Roman" w:cs="Times New Roman"/>
          <w:b/>
          <w:sz w:val="24"/>
          <w:lang w:val="en-US"/>
        </w:rPr>
        <w:t>o</w:t>
      </w:r>
      <w:r w:rsidR="0005561B" w:rsidRPr="00ED4813">
        <w:rPr>
          <w:rFonts w:ascii="Times New Roman" w:hAnsi="Times New Roman" w:cs="Times New Roman"/>
          <w:b/>
          <w:sz w:val="24"/>
          <w:lang w:val="en-US"/>
        </w:rPr>
        <w:t xml:space="preserve">f </w:t>
      </w:r>
      <w:r w:rsidR="0005561B">
        <w:rPr>
          <w:rFonts w:ascii="Times New Roman" w:hAnsi="Times New Roman" w:cs="Times New Roman"/>
          <w:b/>
          <w:sz w:val="24"/>
          <w:lang w:val="en-US"/>
        </w:rPr>
        <w:t>t</w:t>
      </w:r>
      <w:r w:rsidR="0005561B" w:rsidRPr="00ED4813">
        <w:rPr>
          <w:rFonts w:ascii="Times New Roman" w:hAnsi="Times New Roman" w:cs="Times New Roman"/>
          <w:b/>
          <w:sz w:val="24"/>
          <w:lang w:val="en-US"/>
        </w:rPr>
        <w:t>he Data</w:t>
      </w:r>
    </w:p>
    <w:p w14:paraId="64B1A7A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Entire articles were downloaded in portable document format (pdf) from the online versions of the journals. From these articles, the research methodology sections were extracted and first saved as Microsoft Word files. The methodology sections were then coded. The coding involved a specific nomenclature. This nomenclature provided the following details about each of the methodology sections: the number of authors of the article. SA meant the article was Single Authored (one individual author), DA meant it was co-authored (two authors) and MA meant multiple authored (more than two authors). The second category in the nomenclature was used to indicate whether the article was published in an African or Western journal. AF indicated that the article was published in an African journal whilst W indicated that it was published in a Western journal. The next category within the nomenclature indicated the specific discipline of the article. H referred to Humanities whilst S referred to Social Sciences. The last category in the nomenclature was a serial number and served as the point of distinction between individual methodology sections.</w:t>
      </w:r>
    </w:p>
    <w:p w14:paraId="0E79A0DD"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B1D070A"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AntConc (version 3.5.8.0) corpus analysis tool was used in analyzing the data. The Microsoft Word format in which the data was therefore had to be converted to plain text, the format that the AntConc software can read. In this AntConc readable format, a word search was done using the pronouns </w:t>
      </w:r>
      <w:r w:rsidRPr="00ED4813">
        <w:rPr>
          <w:rFonts w:ascii="Times New Roman" w:hAnsi="Times New Roman" w:cs="Times New Roman"/>
          <w:i/>
          <w:sz w:val="24"/>
          <w:szCs w:val="24"/>
          <w:lang w:val="en-US"/>
        </w:rPr>
        <w:t xml:space="preserve">I </w:t>
      </w:r>
      <w:r w:rsidRPr="00ED4813">
        <w:rPr>
          <w:rFonts w:ascii="Times New Roman" w:hAnsi="Times New Roman" w:cs="Times New Roman"/>
          <w:sz w:val="24"/>
          <w:szCs w:val="24"/>
          <w:lang w:val="en-US"/>
        </w:rPr>
        <w:t xml:space="preserve">and </w:t>
      </w:r>
      <w:r w:rsidRPr="00ED4813">
        <w:rPr>
          <w:rFonts w:ascii="Times New Roman" w:hAnsi="Times New Roman" w:cs="Times New Roman"/>
          <w:i/>
          <w:sz w:val="24"/>
          <w:szCs w:val="24"/>
          <w:lang w:val="en-US"/>
        </w:rPr>
        <w:t xml:space="preserve">We </w:t>
      </w:r>
      <w:r w:rsidRPr="00ED4813">
        <w:rPr>
          <w:rFonts w:ascii="Times New Roman" w:hAnsi="Times New Roman" w:cs="Times New Roman"/>
          <w:sz w:val="24"/>
          <w:szCs w:val="24"/>
          <w:lang w:val="en-US"/>
        </w:rPr>
        <w:t xml:space="preserve">to identify all clauses in which these pronouns were used in the entire corpus. The coding of the data meant that there was a clear path indicating the specific source of each of the clauses that had the search terms. The identified clauses were then grouped based on a two-pronged criterion: the first was whether the articles came from a Western or African journal; second, was whether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used was singular or plural. A transitivity analysis of these clauses was then undertaken with a view to identifying the process type expressed in each of these clauses. Apart from the participants occupying the grammatical subject position in the clause, the transitivity analysis did not pay attention to other participants and elements such as the circumstance expressed in these clauses. This decision was taken in line with the objectives of the study.</w:t>
      </w:r>
    </w:p>
    <w:p w14:paraId="53A3F2C8"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A further dimension of the processing of the data which has implications for the analysis concerns the correlation between the authorial categories and the number of articles. The data did not have equal number of articles for each of the authorial categories. To make sense of the frequency of occurrence of the first person and the distribution of process types among the authorial categories, the average occurrence of any item in each of the authorial categories was therefore computed. This average value therefore formed the basis of a fair comparison across the authorial categories by normalizing the feature across the data.</w:t>
      </w:r>
      <w:bookmarkStart w:id="1" w:name="_Hlk511827343"/>
    </w:p>
    <w:p w14:paraId="53A5CF14" w14:textId="7A115E16"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Analytical </w:t>
      </w:r>
      <w:r w:rsidR="0005561B" w:rsidRPr="00ED4813">
        <w:rPr>
          <w:rFonts w:ascii="Times New Roman" w:hAnsi="Times New Roman" w:cs="Times New Roman"/>
          <w:b/>
          <w:sz w:val="24"/>
          <w:lang w:val="en-US"/>
        </w:rPr>
        <w:t>Framework</w:t>
      </w:r>
    </w:p>
    <w:p w14:paraId="1B0605BD"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theoretical thrust of this study is informed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English","type":"article-journal","volume":"3"},"uris":["http://www.mendeley.com/documents/?uuid=835b9af8-1a42-4ae5-85f6-b604a9835e06"]}],"mendeley":{"formattedCitation":"(Michael Alexander Kirkwood Halliday, 1967)","manualFormatting":"Halliday's (1967)","plainTextFormattedCitation":"(Michael Alexander Kirkwood Halliday, 1967)","previouslyFormattedCitation":"(Michael Alexander Kirkwood Halliday, 1967)"},"properties":{"noteIndex":0},"schema":"https://github.com/citation-style-language/schema/raw/master/csl-citation.json"}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Halliday's (1967)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transitivity, an important framework within Systemic Functional Grammar (</w:t>
      </w:r>
      <w:proofErr w:type="spellStart"/>
      <w:r w:rsidRPr="00ED4813">
        <w:rPr>
          <w:rFonts w:ascii="Times New Roman" w:hAnsi="Times New Roman" w:cs="Times New Roman"/>
          <w:sz w:val="24"/>
          <w:szCs w:val="24"/>
          <w:lang w:val="en-US"/>
        </w:rPr>
        <w:t>SFG</w:t>
      </w:r>
      <w:proofErr w:type="spellEnd"/>
      <w:r w:rsidRPr="00ED4813">
        <w:rPr>
          <w:rFonts w:ascii="Times New Roman" w:hAnsi="Times New Roman" w:cs="Times New Roman"/>
          <w:sz w:val="24"/>
          <w:szCs w:val="24"/>
          <w:lang w:val="en-US"/>
        </w:rPr>
        <w:t xml:space="preserve">), which has been explored extensively in discourse and text analysis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Bloor","given":"Thomas","non-dropping-particle":"","parse-names":false,"suffix":""},{"dropping-particle":"","family":"Bloor","given":"Meriel","non-dropping-particle":"","parse-names":false,"suffix":""}],"id":"ITEM-1","issued":{"date-parts":[["2004"]]},"publisher":"Routledge","publisher-place":"New York","title":"The functional analysis of English: A Hallidayan approach","type":"book"},"uris":["http://www.mendeley.com/documents/?uuid=e54964d2-1dc3-4361-b349-bc245084d440"]}],"mendeley":{"formattedCitation":"(Bloor &amp; Bloor, 2004)","plainTextFormattedCitation":"(Bloor &amp; Bloor, 2004)","previouslyFormattedCitation":"(Bloor &amp; Bloor,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(Bloor &amp; Bloor,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 Transitivity within </w:t>
      </w:r>
      <w:proofErr w:type="spellStart"/>
      <w:r w:rsidRPr="00ED4813">
        <w:rPr>
          <w:rFonts w:ascii="Times New Roman" w:hAnsi="Times New Roman" w:cs="Times New Roman"/>
          <w:sz w:val="24"/>
          <w:szCs w:val="24"/>
          <w:lang w:val="en-US"/>
        </w:rPr>
        <w:t>SFG</w:t>
      </w:r>
      <w:proofErr w:type="spellEnd"/>
      <w:r w:rsidRPr="00ED4813">
        <w:rPr>
          <w:rFonts w:ascii="Times New Roman" w:hAnsi="Times New Roman" w:cs="Times New Roman"/>
          <w:sz w:val="24"/>
          <w:szCs w:val="24"/>
          <w:lang w:val="en-US"/>
        </w:rPr>
        <w:t xml:space="preserve"> is one of the ways in which the ideational metafunction of language is realized. At the core of the framework of transitivity is the accepted view that the clause is a representation of experience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English","type":"article-journal","volume":"3"},"uris":["http://www.mendeley.com/documents/?uuid=835b9af8-1a42-4ae5-85f6-b604a9835e06"]},{"id":"ITEM-2","itemData":{"DOI":"10.2979/reseafrilite.45.2.103","ISSN":"00345210","abstract":"Following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Literatures","id":"ITEM-2","issue":"2","issued":{"date-parts":[["2014"]]},"note":"the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Savannah&lt;/i&gt;","type":"article-journal","volume":"45"},"uris":["http://www.mendeley.com/documents/?uuid=415b60ea-e59b-4910-ad62-7cb6d4540c3a"]},{"id":"ITEM-3","itemData":{"ISBN":"9780203431269","abstract":"Halliday,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Arnold","id":"ITEM-3","issued":{"date-parts":[["2004"]]},"note":"Transitivity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1967; Michael Alexander Kirkwood Halliday &amp; Matthiessen, 2004; Mwinlaaru, 2014)","manualFormatting":"(Halliday, 1967; Halliday, 1994; Halliday &amp; Matthiessen, 2004)","plainTextFormattedCitation":"(Michael Alexander Kirkwood Halliday, 1967; Michael Alexander Kirkwood Halliday &amp; Matthiessen, 2004; Mwinlaaru, 2014)","previouslyFormattedCitation":"(Michael Alexander Kirkwood Halliday, 1967; Michael Alexander Kirkwood Halliday &amp; Matthiessen, 2004; 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1967; Halliday, 1994; Halliday &amp;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Experience here is construed as  outer experience, which involves the processes of the external world or reality and internal experience, which involves consciousness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gramar","type":"article-journal","volume":"3"},"uris":["http://www.mendeley.com/documents/?uuid=2b6b2279-e65f-4563-acc5-ef8762e05dc8"]},{"id":"ITEM-2","itemData":{"ISSN":"2056-5429","abstract":"This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Sciences","id":"ITEM-2","issue":"4","issued":{"date-parts":[["2014"]]},"note":"experience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Rose","type":"article-journal","volume":"2"},"uris":["http://www.mendeley.com/documents/?uuid=fefc338c-fca6-4d7c-9f2f-bf34ff92e83b"]}],"mendeley":{"formattedCitation":"(Michael Alexander Kirkwood Halliday &amp; Matthiessen, 2004; Mehmood, Amber, Ameer, &amp; Faiz, 2014)","manualFormatting":"(Halliday &amp; Matthiessen, 2004; Mehmood, Amber, Ameer, &amp; Faiz, 2014)","plainTextFormattedCitation":"(Michael Alexander Kirkwood Halliday &amp; Matthiessen, 2004; Mehmood, Amber, Ameer, &amp; Faiz, 2014)","previouslyFormattedCitation":"(Michael Alexander Kirkwood Halliday &amp; Matthiessen, 2004; Mehmood, Amber, Ameer, &amp; Faiz,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&amp; Matthiessen, 2004; Mehmood, Amber, Ameer, &amp; Faiz,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Further to the point, experiences within the framework more specifically means the events, actions and processes of all kinds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Sciences","id":"ITEM-1","issue":"4","issued":{"date-parts":[["2014"]]},"note":"experience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Rose","type":"article-journal","volume":"2"},"uris":["http://www.mendeley.com/documents/?uuid=fefc338c-fca6-4d7c-9f2f-bf34ff92e83b"]}],"mendeley":{"formattedCitation":"(Mehmood et al., 2014)","plainTextFormattedCitation":"(Mehmood et al., 2014)","previouslyFormattedCitation":"(Mehmood et al.,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(Mehmood et al.,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From the understanding of the clause as representing experience arises the formulation of the different process types which demonstrate how the clause comes to represent the full spectrum of our experiences, both internal and external. Of course, to account for the clause as a vehicle of representation, the transitivity system identifies three (3) elements within the clause – the participants, the </w:t>
      </w:r>
      <w:proofErr w:type="gramStart"/>
      <w:r w:rsidRPr="00ED4813">
        <w:rPr>
          <w:rFonts w:ascii="Times New Roman" w:hAnsi="Times New Roman" w:cs="Times New Roman"/>
          <w:sz w:val="24"/>
          <w:szCs w:val="24"/>
          <w:lang w:val="en-US"/>
        </w:rPr>
        <w:t>process</w:t>
      </w:r>
      <w:proofErr w:type="gramEnd"/>
      <w:r w:rsidRPr="00ED4813">
        <w:rPr>
          <w:rFonts w:ascii="Times New Roman" w:hAnsi="Times New Roman" w:cs="Times New Roman"/>
          <w:sz w:val="24"/>
          <w:szCs w:val="24"/>
          <w:lang w:val="en-US"/>
        </w:rPr>
        <w:t xml:space="preserve"> and the circumstance. It is these three units within the clause that allow it to fully represent experiences of various kinds.</w:t>
      </w:r>
    </w:p>
    <w:p w14:paraId="5116E47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47D45D" w14:textId="40457756"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identify six process types that are the conduit for representing experience through the clause in the English language. These processes are material processes, mental processes, relational processes, existential processes,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w:t>
      </w:r>
      <w:proofErr w:type="gramStart"/>
      <w:r w:rsidRPr="00ED4813">
        <w:rPr>
          <w:rFonts w:ascii="Times New Roman" w:hAnsi="Times New Roman" w:cs="Times New Roman"/>
          <w:sz w:val="24"/>
          <w:szCs w:val="24"/>
          <w:lang w:val="en-US"/>
        </w:rPr>
        <w:t>processes</w:t>
      </w:r>
      <w:proofErr w:type="gramEnd"/>
      <w:r w:rsidRPr="00ED4813">
        <w:rPr>
          <w:rFonts w:ascii="Times New Roman" w:hAnsi="Times New Roman" w:cs="Times New Roman"/>
          <w:sz w:val="24"/>
          <w:szCs w:val="24"/>
          <w:lang w:val="en-US"/>
        </w:rPr>
        <w:t xml:space="preserve"> and verbal processes. Out of these six (6) processes,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indicate that the material, mental and relational processes are the major process types whilst the other three (3) are minor processes realized within the clause. Material processes are processes that express physical experiences and as such denote action and events. The Actor and Goal are the primary Participants that occur with this process type. Mental processes, the second major process type, are processes that are indicative of the individual’s consciousness. In other words, mental processes are processes of sensing involving cognition, perception and feeling. The participants within this process type are the Senser, the conscious entity involved with the process, and the Phenomenon, that which is felt by the consciousness of the Senser. Relational processes express relationships of being and having between two participants. This process type has two distinct </w:t>
      </w:r>
      <w:proofErr w:type="gramStart"/>
      <w:r w:rsidRPr="00ED4813">
        <w:rPr>
          <w:rFonts w:ascii="Times New Roman" w:hAnsi="Times New Roman" w:cs="Times New Roman"/>
          <w:sz w:val="24"/>
          <w:szCs w:val="24"/>
          <w:lang w:val="en-US"/>
        </w:rPr>
        <w:t>subtypes;</w:t>
      </w:r>
      <w:proofErr w:type="gramEnd"/>
      <w:r w:rsidRPr="00ED4813">
        <w:rPr>
          <w:rFonts w:ascii="Times New Roman" w:hAnsi="Times New Roman" w:cs="Times New Roman"/>
          <w:sz w:val="24"/>
          <w:szCs w:val="24"/>
          <w:lang w:val="en-US"/>
        </w:rPr>
        <w:t xml:space="preserve"> attributive and identifying processes. For the attributive subtype, the participants involved are the Carrier and the Attribute whilst those for the identifying subtype are the Identified and the Identifier. The existential process is realized in clauses which indicate that something exists. This process type has only one participant known as the Existent, the thing which exists.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processes merge consciousness and physical experience of the outside world. This process type as such expresses physiological and psychological behaviours </w:t>
      </w:r>
      <w:r w:rsidRPr="00ED4813">
        <w:rPr>
          <w:rFonts w:ascii="Times New Roman" w:hAnsi="Times New Roman" w:cs="Times New Roman"/>
          <w:sz w:val="24"/>
          <w:szCs w:val="24"/>
          <w:lang w:val="en-US"/>
        </w:rPr>
        <w:lastRenderedPageBreak/>
        <w:t xml:space="preserve">such as breathing, </w:t>
      </w:r>
      <w:proofErr w:type="gramStart"/>
      <w:r w:rsidRPr="00ED4813">
        <w:rPr>
          <w:rFonts w:ascii="Times New Roman" w:hAnsi="Times New Roman" w:cs="Times New Roman"/>
          <w:sz w:val="24"/>
          <w:szCs w:val="24"/>
          <w:lang w:val="en-US"/>
        </w:rPr>
        <w:t>sneezing</w:t>
      </w:r>
      <w:proofErr w:type="gramEnd"/>
      <w:r w:rsidRPr="00ED4813">
        <w:rPr>
          <w:rFonts w:ascii="Times New Roman" w:hAnsi="Times New Roman" w:cs="Times New Roman"/>
          <w:sz w:val="24"/>
          <w:szCs w:val="24"/>
          <w:lang w:val="en-US"/>
        </w:rPr>
        <w:t xml:space="preserve"> and laughing. There are two participants associated with this process type. The Behaver is the conscious entity undergoing the </w:t>
      </w:r>
      <w:r w:rsidRPr="00ED4813">
        <w:rPr>
          <w:rFonts w:ascii="Times New Roman" w:hAnsi="Times New Roman" w:cs="Times New Roman"/>
          <w:sz w:val="24"/>
          <w:szCs w:val="24"/>
        </w:rPr>
        <w:t>behaviour and the Behaviour</w:t>
      </w:r>
      <w:r w:rsidRPr="00ED4813">
        <w:rPr>
          <w:rFonts w:ascii="Times New Roman" w:hAnsi="Times New Roman" w:cs="Times New Roman"/>
          <w:sz w:val="24"/>
          <w:szCs w:val="24"/>
          <w:lang w:val="en-US"/>
        </w:rPr>
        <w:t xml:space="preserve">, the entity at which the process is directed. The last process within the transitivity system is the verbal process. This process type deals with the process of saying. It usually has three (3) participants: the Sayer, the </w:t>
      </w:r>
      <w:proofErr w:type="gramStart"/>
      <w:r w:rsidRPr="00ED4813">
        <w:rPr>
          <w:rFonts w:ascii="Times New Roman" w:hAnsi="Times New Roman" w:cs="Times New Roman"/>
          <w:sz w:val="24"/>
          <w:szCs w:val="24"/>
          <w:lang w:val="en-US"/>
        </w:rPr>
        <w:t>Receiver</w:t>
      </w:r>
      <w:proofErr w:type="gramEnd"/>
      <w:r w:rsidRPr="00ED4813">
        <w:rPr>
          <w:rFonts w:ascii="Times New Roman" w:hAnsi="Times New Roman" w:cs="Times New Roman"/>
          <w:sz w:val="24"/>
          <w:szCs w:val="24"/>
          <w:lang w:val="en-US"/>
        </w:rPr>
        <w:t xml:space="preserve"> and the Verbiage (which is the thing that is said by the Sayer).</w:t>
      </w:r>
    </w:p>
    <w:p w14:paraId="3CAAEE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49B8B74"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application of the framework of transitivity in examining the issue of authorial presence in the methodology section of research articles is premised on the following assumption. Given that processes in the transitivity model are ways of representation through language, the nature of the reality and experience that is being represented should inform us about the author who is doing the representation, especially so in terms of how the author relates to the experience that is being represented in the clauses. This assumption is strengthened by the current dominant view in academic writing which argues that writing within the academe is a discoursal process for the enactment and construction of identity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{"citationItems":[{"id":"ITEM-1","itemData":{"DOI":"10.1016/j.jeap.2015.02.005","ISSN":"1475-1585","author":[{"dropping-particle":"","family":"Hyland","given":"Ken","non-dropping-particle":"","parse-names":false,"suffix":""}],"container-title":"Journal of English for Academic Purposes","id":"ITEM-1","issued":{"date-parts":[["2015"]]},"page":"32-43","publisher":"Elsevier Ltd","title":"Genre, discipline and identity","type":"article-journal","volume":"19"},"uris":["http://www.mendeley.com/documents/?uuid=78d5dbde-c314-415b-b00d-5bfa06131f34"]},{"id":"ITEM-2","itemData":{"DOI":"10.1016/S0889-4906(00)00012-0","ISBN":"0889-4906","ISSN":"08894906","abstract":"In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Linguistics","id":"ITEM-3","issued":{"date-parts":[["2015"]]},"page":"81-99","title":"Identity in academic discourse","type":"article","volume":"35"},"uris":["http://www.mendeley.com/documents/?uuid=31faf846-e7a2-4c7a-9625-b1fc5fd49141"]}],"mendeley":{"formattedCitation":"(Flowerdew &amp; Wang, 2015; Hyland, 2001, 2015)","plainTextFormattedCitation":"(Flowerdew &amp; Wang, 2015; Hyland, 2001, 2015)","previouslyFormattedCitation":"(Flowerdew &amp; Wang, 2015; Hyland, 2001,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Hyland, 2001,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therefore stands to reason that the different process types within the transitivity framework which constitute the media for the expression of different kinds of experiences will come to construct and enact different identities for the author. In other words, the different process types will enact different types of presence for the author of the text. This deduction is made on the premise that identity is a function of the author’s presence in the text and that authorial presence is determined by the processes that authors use to convey their experiences. The application of the transitivity model in the manner that is being suggested here is not novel. Apart from Halliday’s classic analysis of William Golding’s </w:t>
      </w:r>
      <w:r w:rsidRPr="00ED4813">
        <w:rPr>
          <w:rFonts w:ascii="Times New Roman" w:hAnsi="Times New Roman" w:cs="Times New Roman"/>
          <w:i/>
          <w:sz w:val="24"/>
          <w:szCs w:val="24"/>
          <w:lang w:val="en-US"/>
        </w:rPr>
        <w:t>The Inheritors</w:t>
      </w:r>
      <w:r w:rsidRPr="00ED4813">
        <w:rPr>
          <w:rFonts w:ascii="Times New Roman" w:hAnsi="Times New Roman" w:cs="Times New Roman"/>
          <w:sz w:val="24"/>
          <w:szCs w:val="24"/>
          <w:lang w:val="en-US"/>
        </w:rPr>
        <w:t xml:space="preserve">, several studies of that nature exist (e.g.,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{"citationItems":[{"id":"ITEM-1","itemData":{"author":[{"dropping-particle":"","family":"Adika","given":"Gordon Senanu Kwame","non-dropping-particle":"","parse-names":false,"suffix":""},{"dropping-particle":"","family":"Denkabe","given":"Alloysius","non-dropping-particle":"","parse-names":false,"suffix":""}],"container-title":"English in Ghana","editor":[{"dropping-particle":"","family":"Dakubu","given":"Kropp","non-dropping-particle":"","parse-names":false,"suffix":""}],"id":"ITEM-1","issued":{"date-parts":[["1997"]]},"page":"211-223","publisher":"English Language Studies Association","publisher-place":"Accra","title":"A grammar of text analysis: an approach","type":"chapter"},"uris":["http://www.mendeley.com/documents/?uuid=d0b0b72e-49f6-4da6-b452-aae745135127"]}],"mendeley":{"formattedCitation":"(Adika &amp; Denkabe, 1997)","manualFormatting":"Adika &amp; Denkabe, 1997; Mwinlaaru, 2014)","plainTextFormattedCitation":"(Adika &amp; Denkabe, 1997)","previouslyFormattedCitation":"(Adika &amp; Denkabe, 1997)"},"properties":{"noteIndex":0},"schema":"https://github.com/citation-style-language/schema/raw/master/csl-citation.json"}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Adika &amp; Denkabe, 1997;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Literatures","id":"ITEM-1","issue":"2","issued":{"date-parts":[["2014"]]},"note":"the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Savannah&lt;/i&gt;","type":"article-journal","volume":"45"},"uris":["http://www.mendeley.com/documents/?uuid=415b60ea-e59b-4910-ad62-7cb6d4540c3a"]}],"mendeley":{"formattedCitation":"(Mwinlaaru, 2014)","manualFormatting":" Mwinlaaru (2014)","plainTextFormattedCitation":"(Mwinlaaru, 2014)","previouslyFormattedCitation":"(Mwinlaaru,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 xml:space="preserve">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used transitivity to trace the transformation of the identity of a fictional character, Chris in Achebe’s </w:t>
      </w:r>
      <w:r w:rsidRPr="00ED4813">
        <w:rPr>
          <w:rFonts w:ascii="Times New Roman" w:hAnsi="Times New Roman" w:cs="Times New Roman"/>
          <w:i/>
          <w:sz w:val="24"/>
          <w:szCs w:val="24"/>
          <w:lang w:val="en-US"/>
        </w:rPr>
        <w:t>Anthills of the Savannah.</w:t>
      </w:r>
      <w:r w:rsidRPr="00ED4813">
        <w:rPr>
          <w:rFonts w:ascii="Times New Roman" w:hAnsi="Times New Roman" w:cs="Times New Roman"/>
          <w:sz w:val="24"/>
          <w:szCs w:val="24"/>
          <w:lang w:val="en-US"/>
        </w:rPr>
        <w:t xml:space="preserve"> </w:t>
      </w:r>
      <w:proofErr w:type="spellStart"/>
      <w:r w:rsidRPr="00ED4813">
        <w:rPr>
          <w:rFonts w:ascii="Times New Roman" w:hAnsi="Times New Roman" w:cs="Times New Roman"/>
          <w:sz w:val="24"/>
          <w:szCs w:val="24"/>
          <w:lang w:val="en-US"/>
        </w:rPr>
        <w:t>Mwinlaaru’s</w:t>
      </w:r>
      <w:proofErr w:type="spellEnd"/>
      <w:r w:rsidRPr="00ED4813">
        <w:rPr>
          <w:rFonts w:ascii="Times New Roman" w:hAnsi="Times New Roman" w:cs="Times New Roman"/>
          <w:sz w:val="24"/>
          <w:szCs w:val="24"/>
          <w:lang w:val="en-US"/>
        </w:rPr>
        <w:t xml:space="preserve"> study, though situated in literature demonstrates that a transitivity analysis of clauses in a text is an insightful way of looking at the transformation of identity. More importantly within the area of identity in academic discourse,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{"citationItems":[{"id":"ITEM-1","itemData":{"DOI":"10.1016/j.jeap.2012.01.001","ISBN":"1475-1585","ISSN":"14751585","abstract":"In contrast to the prescribed anonymity of the research article, the bio which accompanies it is perhaps the most explicit assertion of self-representation in scholarly life. Here is a rhetorical space where, in 50-100 words, authors are able to craft a narrative of expertise for themselves. It is a key opening for academics, both novice and experienced, to manage a public image through the careful recounting of achievement. Yet despite the current interest in identity, the bio has largely escaped attention. In this paper we address this neglect through analysis of 600 bios across three disciplines, exploring the importance of discipline, status and gender in mediating the ways writers claim an identity. Our argument is that, despite its brevity, the bio is an important means of representing an academic self through the recognition of collective values and membership. © 2012 Elsevier Ltd.","author":[{"dropping-particle":"","family":"Hyland","given":"Ken","non-dropping-particle":"","parse-names":false,"suffix":""},{"dropping-particle":"","family":"Tse","given":"Polly","non-dropping-particle":"","parse-names":false,"suffix":""}],"container-title":"Journal of English for Academic Purposes","id":"ITEM-1","issue":"2","issued":{"date-parts":[["2012"]]},"page":"155-165","publisher":"Elsevier Ltd","title":"'She has received many honours': Identity construction in article bio statements","type":"article-journal","volume":"11"},"uris":["http://www.mendeley.com/documents/?uuid=f07d5e1d-cc10-4d46-8464-90da0f2ebd7e"]}],"mendeley":{"formattedCitation":"(Hyland &amp; Tse, 2012)","manualFormatting":"Hyland &amp; Tse (2012)","plainTextFormattedCitation":"(Hyland &amp; Tse, 2012)","previouslyFormattedCitation":"(Hyland &amp; Tse, 2012)"},"properties":{"noteIndex":0},"schema":"https://github.com/citation-style-language/schema/raw/master/csl-citation.json"}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and Tse (2012)</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have demonstrated how the transitivity framework can be used to examine the issue of identity. Their study therefore provides insights as regards applying the framework to analyzing authorial presence and voice in the research article.</w:t>
      </w:r>
      <w:bookmarkEnd w:id="1"/>
    </w:p>
    <w:p w14:paraId="5E41A6D3" w14:textId="624EFD81" w:rsidR="00AD1F78" w:rsidRPr="00ED4813" w:rsidRDefault="00F830B2" w:rsidP="00F830B2">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t>ANALYSIS AND DISCUSSION</w:t>
      </w:r>
    </w:p>
    <w:p w14:paraId="17A9C3A6" w14:textId="77777777" w:rsidR="00AD1F78" w:rsidRPr="00ED4813" w:rsidRDefault="00AD1F78" w:rsidP="00F830B2">
      <w:pPr>
        <w:spacing w:line="240" w:lineRule="auto"/>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of the paper offers an analysis and discussion of the data. The focus of the analysis is on the various ways in which authorial voice and presence are expressed within the methodology section. The first sub-section examines the relationship between pronominal forms and the expression of authorial voice. The second sub-section focuses on how the system of transitivity has been used as a way of conveying authorial voice and presence in the data.</w:t>
      </w:r>
    </w:p>
    <w:p w14:paraId="66C3665C" w14:textId="77777777" w:rsidR="00AD1F78" w:rsidRPr="00ED4813" w:rsidRDefault="00AD1F78" w:rsidP="00AD1F78">
      <w:pPr>
        <w:pStyle w:val="NoSpacing"/>
        <w:rPr>
          <w:rFonts w:ascii="Times New Roman" w:hAnsi="Times New Roman" w:cs="Times New Roman"/>
          <w:sz w:val="24"/>
          <w:szCs w:val="24"/>
          <w:lang w:val="en-US"/>
        </w:rPr>
      </w:pPr>
    </w:p>
    <w:p w14:paraId="713AB3F5" w14:textId="1EA74B80" w:rsidR="00AD1F78" w:rsidRPr="00ED4813" w:rsidRDefault="00AD1F78" w:rsidP="00F830B2">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Pronominal Forms </w:t>
      </w:r>
      <w:r w:rsidR="00F830B2" w:rsidRPr="00ED4813">
        <w:rPr>
          <w:rFonts w:ascii="Times New Roman" w:hAnsi="Times New Roman" w:cs="Times New Roman"/>
          <w:b/>
          <w:sz w:val="24"/>
          <w:lang w:val="en-US"/>
        </w:rPr>
        <w:t xml:space="preserve">and </w:t>
      </w:r>
      <w:r w:rsidRPr="00ED4813">
        <w:rPr>
          <w:rFonts w:ascii="Times New Roman" w:hAnsi="Times New Roman" w:cs="Times New Roman"/>
          <w:b/>
          <w:sz w:val="24"/>
          <w:lang w:val="en-US"/>
        </w:rPr>
        <w:t>Authorial Voice</w:t>
      </w:r>
    </w:p>
    <w:p w14:paraId="7416A45A" w14:textId="400008B9"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Studies into identity enactment in writing in general and authorial presence in academic writing in particular have principally come to the consensus that the use of first person personal pronouns is perhaps the most important indicator of authorial presence in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Purposes","id":"ITEM-3","issued":{"date-parts":[["2015"]]},"note":"the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perspectives","type":"article-journal","volume":"20"},"uris":["http://www.mendeley.com/documents/?uuid=8ba17f43-ec30-4e41-baad-41e2ec4f1211"]},{"id":"ITEM-4","itemData":{"abstract":"See,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Pragmatics","id":"ITEM-4","issued":{"date-parts":[["2002"]]},"page":"1091-1112","title":"Authority and invisibility: authorial dentity in academic writing","type":"article-journal","volume":"34"},"uris":["http://www.mendeley.com/documents/?uuid=160f8754-714d-4f1a-b064-f54a7f4353f4"]},{"id":"ITEM-5","itemData":{"DOI":"10.1016/S0889-4906(97)00058-6","ISBN":"8863572062","ISSN":"08894906","abstract":"This paper presents an empirical study of personal pronouns in scientific journal articles. Viewing written text as interaction, this study investigates how the use of personal pronouns may reveal writers perceptions of their own role in research and their relationship with expected readers as well as the scientific-academic community. First-person plural pronouns are used far more frequently than other types of personal pronouns. A further analysis of first-person plural pronouns suggests that they can have a number of semantic references and perform multiple functions in the journal article. Examples from sampled texts show how writers use strategically exclusive we to refer to writers themselves or inclusive we to refer to either writers and readers or the discipline as a whole for different communicative purposes. The use of second-person, third-person, and indefinite pronouns also reflects a writers intention to secure cooperation from, and stress solidarity with, readers.","author":[{"dropping-particle":"","family":"Kuo","given":"Chih-Hua","non-dropping-particle":"","parse-names":false,"suffix":""}],"container-title":"English for Specific Purposes","id":"ITEM-5","issue":"2","issued":{"date-parts":[["1999"]]},"page":"121-138","title":"The Use of Personal Pronouns: Role Relationships in Scientific Journal Articles","type":"article-journal","volume":"18"},"uris":["http://www.mendeley.com/documents/?uuid=f9f50d3d-bd71-41d5-900c-cb3020a93075"]}],"mendeley":{"formattedCitation":"(Çandarli et al., 2015; Hyland, 2001, 2002a; Kuo, 1999; Ramanathan &amp; Atkinson, 1999)","plainTextFormattedCitation":"(Çandarli et al., 2015; Hyland, 2001, 2002a; Kuo, 1999; Ramanathan &amp; Atkinson, 1999)","previouslyFormattedCitation":"(Çandarli et al., 2015; Hyland, 2001, 2002a; Kuo, 1999;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 Hyland, 2001, 2002a; Kuo, 1999;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Since the argument has been made that the use of first </w:t>
      </w:r>
      <w:r w:rsidRPr="00ED4813">
        <w:rPr>
          <w:rFonts w:ascii="Times New Roman" w:hAnsi="Times New Roman" w:cs="Times New Roman"/>
          <w:sz w:val="24"/>
          <w:szCs w:val="24"/>
          <w:lang w:val="en-US"/>
        </w:rPr>
        <w:lastRenderedPageBreak/>
        <w:t xml:space="preserve">person pronouns in writing marks the presence of the author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and also indicates the desire to express authorial voice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Purposes","id":"ITEM-1","issue":"3","issued":{"date-parts":[["2001"]]},"page":"207-226","title":"Humble servants of the discipline? Self-mention in research articles","type":"article-journal","volume":"20"},"uris":["http://www.mendeley.com/documents/?uuid=684b2f72-47de-4945-839d-37144ea0e513"]}],"mendeley":{"formattedCitation":"(Hyland, 2001)","plainTextFormattedCitation":"(Hyland, 2001)","previouslyFormattedCitation":"(Hyland,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we can reasonably contend that the absence of these forms or their minimal usage may point to the stifling or perhaps weakening of authorial voice and presence. This is especially the case given the fact that we found only forty-nine (49) instances of nominal group items – “the author(s)” and “the researcher(s) – which mark the presence of the author in the entire data. The presence of these nominal forms, it is our contention, do not inscribe a strong authorial presence because they create a distal relationship between the author (s) and the research process in the sense that they authors are presented from a third person perspective which shifts the perceptual centre from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point of view which would have carried a deeper authorial involvement in the research process. In this regard, one of the imperatives of this study is to examine the extent to which first person personal pronouns are used in the methodology sections of research articles published in selected Western and African journals. The analysis of the data revealed that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(I, We) constitute a statistical fraction of methodology sections of research articles published in both African and Western journals. Of a 14,962-word corpus built from the methodology sections of RAs published in African journals, only 23 counts of the use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were identified. This figure represents 0.15% of the entire corpus. Within the </w:t>
      </w:r>
      <w:r w:rsidR="009F08C3" w:rsidRPr="00ED4813">
        <w:rPr>
          <w:rFonts w:ascii="Times New Roman" w:hAnsi="Times New Roman" w:cs="Times New Roman"/>
          <w:sz w:val="24"/>
          <w:szCs w:val="24"/>
          <w:lang w:val="en-US"/>
        </w:rPr>
        <w:t>21,198-word</w:t>
      </w:r>
      <w:r w:rsidRPr="00ED4813">
        <w:rPr>
          <w:rFonts w:ascii="Times New Roman" w:hAnsi="Times New Roman" w:cs="Times New Roman"/>
          <w:sz w:val="24"/>
          <w:szCs w:val="24"/>
          <w:lang w:val="en-US"/>
        </w:rPr>
        <w:t xml:space="preserve"> corpus built from methodology sections of RAs published in Western journals, only 225 uses of personal pronouns were identified. This figure means that 1.06% of the words in this corpus are personal pronouns.</w:t>
      </w:r>
    </w:p>
    <w:p w14:paraId="23AC15B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BC91107"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findings from the statistical analysis above supports the argument that first person pronouns are not used extensively in the methodology sections of research articles. Given the established link between the use of pronouns and authorial presence and voice</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id":"ITEM-2","itemData":{"author":[{"dropping-particle":"","family":"Aziz","given":"Abd","non-dropping-particle":"","parse-names":false,"suffix":""},{"dropping-particle":"","family":"Hashima","given":"Noor","non-dropping-particle":"","parse-names":false,"suffix":""}],"id":"ITEM-2","issue":"December","issued":{"date-parts":[["2017"]]},"page":"1319-1334","title":"SOCIAL SCIENCES &amp; HUMANITIES Authorial Identity and Linguistic Features of Native English and Thai Writers in Research Articles","type":"article-journal","volume":"25"},"uris":["http://www.mendeley.com/documents/?uuid=1de3ee77-85b3-4d5d-bb85-862d8d98ce40"]}],"mendeley":{"formattedCitation":"(Aziz &amp; Hashima, 2017; Tang &amp; John, 1999)","plainTextFormattedCitation":"(Aziz &amp; Hashima, 2017; Tang &amp; John, 1999)","previouslyFormattedCitation":"(Aziz &amp; Hashima, 2017; 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(Aziz &amp; Hashima, 2017; 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arguable that within the context of the methodology sections of research articles, authors, irrespective of the journals tend to minimize their presence in texts by limiting their use of the first person. This finding is in line with what is known in the literature about marking authorial presence in academic writing in general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perspectives","type":"article-journal","volume":"20"},"uris":["http://www.mendeley.com/documents/?uuid=8ba17f43-ec30-4e41-baad-41e2ec4f1211"]}],"mendeley":{"formattedCitation":"(Çandarli et al., 2015)","plainTextFormattedCitation":"(Çandarli et al., 2015)","previouslyFormattedCitation":"(Çandarli et al.,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which is that authors tend to limit their presence and voice in texts. The statistical negligibility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further points to an attempt to not explicitly indicate authorial voice and presence. This point is reinforced by the reasonable expectation that since the methodology section is that part in which the researcher indicates broadly how a study was conducted, we should expect the presence and voice of the researcher to be very visible within this segment of the RA. This expectation of the use of the first person falls in line with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call </w:t>
      </w:r>
      <w:r w:rsidRPr="00ED4813">
        <w:rPr>
          <w:rFonts w:ascii="Times New Roman" w:hAnsi="Times New Roman" w:cs="Times New Roman"/>
          <w:i/>
          <w:iCs/>
          <w:sz w:val="24"/>
          <w:szCs w:val="24"/>
          <w:lang w:val="en-US"/>
        </w:rPr>
        <w:t xml:space="preserve">the ‘I’ as recounter of the research process </w:t>
      </w:r>
      <w:r w:rsidRPr="00ED4813">
        <w:rPr>
          <w:rFonts w:ascii="Times New Roman" w:hAnsi="Times New Roman" w:cs="Times New Roman"/>
          <w:sz w:val="24"/>
          <w:szCs w:val="24"/>
          <w:lang w:val="en-US"/>
        </w:rPr>
        <w:t xml:space="preserve"> in their taxonomy of possible identities behind the first person</w:t>
      </w:r>
      <w:r w:rsidRPr="00ED4813">
        <w:rPr>
          <w:rFonts w:ascii="Times New Roman" w:hAnsi="Times New Roman" w:cs="Times New Roman"/>
          <w:i/>
          <w:iCs/>
          <w:sz w:val="24"/>
          <w:szCs w:val="24"/>
          <w:lang w:val="en-US"/>
        </w:rPr>
        <w:t>.</w:t>
      </w:r>
      <w:r w:rsidRPr="00ED4813">
        <w:rPr>
          <w:rFonts w:ascii="Times New Roman" w:hAnsi="Times New Roman" w:cs="Times New Roman"/>
          <w:sz w:val="24"/>
          <w:szCs w:val="24"/>
          <w:lang w:val="en-US"/>
        </w:rPr>
        <w:t xml:space="preserve"> The minimal use of these forms, it is argued, is partly indicative of the suppression of authorial voice and presence. The argument is also supported by the fact that most uses of the first person </w:t>
      </w:r>
      <w:proofErr w:type="gramStart"/>
      <w:r w:rsidRPr="00ED4813">
        <w:rPr>
          <w:rFonts w:ascii="Times New Roman" w:hAnsi="Times New Roman" w:cs="Times New Roman"/>
          <w:sz w:val="24"/>
          <w:szCs w:val="24"/>
          <w:lang w:val="en-US"/>
        </w:rPr>
        <w:t>occurs</w:t>
      </w:r>
      <w:proofErr w:type="gramEnd"/>
      <w:r w:rsidRPr="00ED4813">
        <w:rPr>
          <w:rFonts w:ascii="Times New Roman" w:hAnsi="Times New Roman" w:cs="Times New Roman"/>
          <w:sz w:val="24"/>
          <w:szCs w:val="24"/>
          <w:lang w:val="en-US"/>
        </w:rPr>
        <w:t xml:space="preserve"> with material processes. This co-occurrence ascribes an </w:t>
      </w:r>
      <w:r w:rsidRPr="00ED4813">
        <w:rPr>
          <w:rFonts w:ascii="Times New Roman" w:hAnsi="Times New Roman" w:cs="Times New Roman"/>
          <w:i/>
          <w:iCs/>
          <w:sz w:val="24"/>
          <w:szCs w:val="24"/>
          <w:lang w:val="en-US"/>
        </w:rPr>
        <w:t xml:space="preserve">‘I’ as recounter of research process </w:t>
      </w:r>
      <w:r w:rsidRPr="00ED4813">
        <w:rPr>
          <w:rFonts w:ascii="Times New Roman" w:hAnsi="Times New Roman" w:cs="Times New Roman"/>
          <w:sz w:val="24"/>
          <w:szCs w:val="24"/>
          <w:lang w:val="en-US"/>
        </w:rPr>
        <w:t xml:space="preserve">presence on the author(s) that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pronouns refer to. The minimal usage therefore constitutes down toning of this authorial identity. This conclusion is not novel given that writing manuals as well as academic writing instruction has tended to dissuade writers from employing rhetorical strategies that foreground their presence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articles","type":"article-journal","volume":"20"},"uris":["http://www.mendeley.com/documents/?uuid=684b2f72-47de-4945-839d-37144ea0e513"]}],"mendeley":{"formattedCitation":"(Hyland, 2001; Ramanathan &amp; Atkinson, 1999)","plainTextFormattedCitation":"(Hyland, 2001; Ramanathan &amp; Atkinson, 1999)","previouslyFormattedCitation":"(Hyland, 2001;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0B9EF85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CA9B6F5"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In addition to the findings that have been provided by the overview of the proportion of pronouns used in the two corpora, a more detailed analysis is pertinent to the concerns of this study. A core objective is to examine the relationship between first person pronoun usage and article authorship. Here, article authorship refers to the number of authors of </w:t>
      </w:r>
      <w:proofErr w:type="gramStart"/>
      <w:r w:rsidRPr="00ED4813">
        <w:rPr>
          <w:rFonts w:ascii="Times New Roman" w:hAnsi="Times New Roman" w:cs="Times New Roman"/>
          <w:sz w:val="24"/>
          <w:szCs w:val="24"/>
          <w:lang w:val="en-US"/>
        </w:rPr>
        <w:t>particular RAs</w:t>
      </w:r>
      <w:proofErr w:type="gramEnd"/>
      <w:r w:rsidRPr="00ED4813">
        <w:rPr>
          <w:rFonts w:ascii="Times New Roman" w:hAnsi="Times New Roman" w:cs="Times New Roman"/>
          <w:sz w:val="24"/>
          <w:szCs w:val="24"/>
          <w:lang w:val="en-US"/>
        </w:rPr>
        <w:t xml:space="preserve"> and how that number influences the propensity to either use or avoid first person personal pronouns. As mentioned earlier, three (3) authorial categories were created, namely, single-authored (SA), co-authored (two authors; DA) and multi-authored (this refers to articles with at least three (3) authors; MA). Table 3 presents the relationship between the authorial categories and the use of the first person in articles published in both African and Western journals.</w:t>
      </w:r>
    </w:p>
    <w:p w14:paraId="45DCCC4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2"/>
        <w:tblW w:w="0" w:type="auto"/>
        <w:tblLook w:val="04A0" w:firstRow="1" w:lastRow="0" w:firstColumn="1" w:lastColumn="0" w:noHBand="0" w:noVBand="1"/>
      </w:tblPr>
      <w:tblGrid>
        <w:gridCol w:w="1036"/>
        <w:gridCol w:w="13"/>
        <w:gridCol w:w="901"/>
        <w:gridCol w:w="980"/>
        <w:gridCol w:w="1120"/>
        <w:gridCol w:w="1050"/>
        <w:gridCol w:w="904"/>
        <w:gridCol w:w="979"/>
        <w:gridCol w:w="8"/>
        <w:gridCol w:w="1232"/>
      </w:tblGrid>
      <w:tr w:rsidR="00AD1F78" w:rsidRPr="00ED4813" w14:paraId="68448581"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10"/>
          </w:tcPr>
          <w:p w14:paraId="42961351" w14:textId="77777777" w:rsidR="00AD1F78" w:rsidRPr="00DD44EC" w:rsidRDefault="00AD1F78" w:rsidP="003E0B37">
            <w:pPr>
              <w:contextualSpacing/>
              <w:jc w:val="center"/>
              <w:rPr>
                <w:rFonts w:ascii="Times New Roman" w:hAnsi="Times New Roman" w:cs="Times New Roman"/>
                <w:sz w:val="20"/>
                <w:szCs w:val="20"/>
                <w:lang w:val="en-US"/>
              </w:rPr>
            </w:pPr>
            <w:r w:rsidRPr="00DD44EC">
              <w:rPr>
                <w:rFonts w:ascii="Times New Roman" w:hAnsi="Times New Roman" w:cs="Times New Roman"/>
                <w:sz w:val="20"/>
                <w:szCs w:val="20"/>
                <w:lang w:val="en-US"/>
              </w:rPr>
              <w:t>Journal Location</w:t>
            </w:r>
          </w:p>
          <w:p w14:paraId="126FDB80" w14:textId="77777777" w:rsidR="00AD1F78" w:rsidRPr="00ED4813" w:rsidRDefault="00AD1F78" w:rsidP="003E0B37">
            <w:pPr>
              <w:contextualSpacing/>
              <w:rPr>
                <w:rFonts w:ascii="Times New Roman" w:hAnsi="Times New Roman" w:cs="Times New Roman"/>
                <w:sz w:val="24"/>
                <w:szCs w:val="24"/>
                <w:lang w:val="en-US"/>
              </w:rPr>
            </w:pPr>
          </w:p>
        </w:tc>
      </w:tr>
      <w:tr w:rsidR="00AD1F78" w:rsidRPr="00ED4813" w14:paraId="3582980B" w14:textId="77777777"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506" w:type="dxa"/>
            <w:gridSpan w:val="5"/>
          </w:tcPr>
          <w:p w14:paraId="27C2950F"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4844" w:type="dxa"/>
            <w:gridSpan w:val="5"/>
          </w:tcPr>
          <w:p w14:paraId="6EDD2934"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b/>
                <w:bCs/>
                <w:sz w:val="20"/>
                <w:szCs w:val="20"/>
                <w:lang w:val="en-US"/>
              </w:rPr>
              <w:t>Western journals</w:t>
            </w:r>
          </w:p>
        </w:tc>
      </w:tr>
      <w:tr w:rsidR="00AD1F78" w:rsidRPr="00ED4813" w14:paraId="23603660" w14:textId="77777777" w:rsidTr="003E0B37">
        <w:trPr>
          <w:trHeight w:val="100"/>
        </w:trPr>
        <w:tc>
          <w:tcPr>
            <w:cnfStyle w:val="001000000000" w:firstRow="0" w:lastRow="0" w:firstColumn="1" w:lastColumn="0" w:oddVBand="0" w:evenVBand="0" w:oddHBand="0" w:evenHBand="0" w:firstRowFirstColumn="0" w:firstRowLastColumn="0" w:lastRowFirstColumn="0" w:lastRowLastColumn="0"/>
            <w:tcW w:w="1048" w:type="dxa"/>
            <w:gridSpan w:val="2"/>
          </w:tcPr>
          <w:p w14:paraId="6E0FA40D"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Authorial category</w:t>
            </w:r>
          </w:p>
        </w:tc>
        <w:tc>
          <w:tcPr>
            <w:tcW w:w="952" w:type="dxa"/>
          </w:tcPr>
          <w:p w14:paraId="6915808E"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28" w:type="dxa"/>
          </w:tcPr>
          <w:p w14:paraId="78F1AEE9"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378" w:type="dxa"/>
          </w:tcPr>
          <w:p w14:paraId="6AD00CF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c>
          <w:tcPr>
            <w:tcW w:w="1050" w:type="dxa"/>
          </w:tcPr>
          <w:p w14:paraId="4A8F38E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Authorial category</w:t>
            </w:r>
          </w:p>
        </w:tc>
        <w:tc>
          <w:tcPr>
            <w:tcW w:w="960" w:type="dxa"/>
          </w:tcPr>
          <w:p w14:paraId="7387AF0A"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50" w:type="dxa"/>
            <w:gridSpan w:val="2"/>
          </w:tcPr>
          <w:p w14:paraId="375315C2"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684" w:type="dxa"/>
          </w:tcPr>
          <w:p w14:paraId="09768886"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r>
      <w:tr w:rsidR="00D24B03" w:rsidRPr="00ED4813" w14:paraId="48A8E3AA" w14:textId="77777777" w:rsidTr="003E0B3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35" w:type="dxa"/>
          </w:tcPr>
          <w:p w14:paraId="3D12D578"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SA</w:t>
            </w:r>
          </w:p>
        </w:tc>
        <w:tc>
          <w:tcPr>
            <w:tcW w:w="965" w:type="dxa"/>
            <w:gridSpan w:val="2"/>
          </w:tcPr>
          <w:p w14:paraId="16943935"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4F636D3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378" w:type="dxa"/>
          </w:tcPr>
          <w:p w14:paraId="34618AFB"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1.00</w:t>
            </w:r>
          </w:p>
        </w:tc>
        <w:tc>
          <w:tcPr>
            <w:tcW w:w="1050" w:type="dxa"/>
          </w:tcPr>
          <w:p w14:paraId="1D1D9B46"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SA</w:t>
            </w:r>
          </w:p>
        </w:tc>
        <w:tc>
          <w:tcPr>
            <w:tcW w:w="960" w:type="dxa"/>
          </w:tcPr>
          <w:p w14:paraId="13DA88FA"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140" w:type="dxa"/>
          </w:tcPr>
          <w:p w14:paraId="41C5894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w:t>
            </w:r>
          </w:p>
        </w:tc>
        <w:tc>
          <w:tcPr>
            <w:tcW w:w="1694" w:type="dxa"/>
            <w:gridSpan w:val="2"/>
          </w:tcPr>
          <w:p w14:paraId="52314EC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2.85</w:t>
            </w:r>
          </w:p>
        </w:tc>
      </w:tr>
      <w:tr w:rsidR="00AD1F78" w:rsidRPr="00ED4813" w14:paraId="4ABBBE43" w14:textId="77777777" w:rsidTr="003E0B37">
        <w:trPr>
          <w:trHeight w:val="255"/>
        </w:trPr>
        <w:tc>
          <w:tcPr>
            <w:cnfStyle w:val="001000000000" w:firstRow="0" w:lastRow="0" w:firstColumn="1" w:lastColumn="0" w:oddVBand="0" w:evenVBand="0" w:oddHBand="0" w:evenHBand="0" w:firstRowFirstColumn="0" w:firstRowLastColumn="0" w:lastRowFirstColumn="0" w:lastRowLastColumn="0"/>
            <w:tcW w:w="1035" w:type="dxa"/>
          </w:tcPr>
          <w:p w14:paraId="1232DEC1"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DA</w:t>
            </w:r>
          </w:p>
        </w:tc>
        <w:tc>
          <w:tcPr>
            <w:tcW w:w="965" w:type="dxa"/>
            <w:gridSpan w:val="2"/>
          </w:tcPr>
          <w:p w14:paraId="44985E77"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246CD898"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1378" w:type="dxa"/>
          </w:tcPr>
          <w:p w14:paraId="7EBDFF21"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0.33</w:t>
            </w:r>
          </w:p>
        </w:tc>
        <w:tc>
          <w:tcPr>
            <w:tcW w:w="1050" w:type="dxa"/>
          </w:tcPr>
          <w:p w14:paraId="59F192DE"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DA</w:t>
            </w:r>
          </w:p>
        </w:tc>
        <w:tc>
          <w:tcPr>
            <w:tcW w:w="960" w:type="dxa"/>
          </w:tcPr>
          <w:p w14:paraId="239C2E7C"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w:t>
            </w:r>
          </w:p>
        </w:tc>
        <w:tc>
          <w:tcPr>
            <w:tcW w:w="1140" w:type="dxa"/>
          </w:tcPr>
          <w:p w14:paraId="39B00ABD"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tc>
        <w:tc>
          <w:tcPr>
            <w:tcW w:w="1694" w:type="dxa"/>
            <w:gridSpan w:val="2"/>
          </w:tcPr>
          <w:p w14:paraId="3198B746" w14:textId="77777777" w:rsidR="00AD1F78" w:rsidRPr="00D24B03"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2.54</w:t>
            </w:r>
          </w:p>
        </w:tc>
      </w:tr>
      <w:tr w:rsidR="00D24B03" w:rsidRPr="00ED4813" w14:paraId="6428954D" w14:textId="77777777" w:rsidTr="003E0B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35" w:type="dxa"/>
          </w:tcPr>
          <w:p w14:paraId="1F7EF545" w14:textId="77777777" w:rsidR="00AD1F78" w:rsidRPr="00D24B03" w:rsidRDefault="00AD1F78" w:rsidP="003E0B3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MA</w:t>
            </w:r>
          </w:p>
        </w:tc>
        <w:tc>
          <w:tcPr>
            <w:tcW w:w="965" w:type="dxa"/>
            <w:gridSpan w:val="2"/>
          </w:tcPr>
          <w:p w14:paraId="6494253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6</w:t>
            </w:r>
          </w:p>
        </w:tc>
        <w:tc>
          <w:tcPr>
            <w:tcW w:w="1128" w:type="dxa"/>
          </w:tcPr>
          <w:p w14:paraId="226598D0"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378" w:type="dxa"/>
          </w:tcPr>
          <w:p w14:paraId="2EA41C82"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1.17</w:t>
            </w:r>
          </w:p>
        </w:tc>
        <w:tc>
          <w:tcPr>
            <w:tcW w:w="1050" w:type="dxa"/>
          </w:tcPr>
          <w:p w14:paraId="68E682DD"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MA</w:t>
            </w:r>
          </w:p>
        </w:tc>
        <w:tc>
          <w:tcPr>
            <w:tcW w:w="960" w:type="dxa"/>
          </w:tcPr>
          <w:p w14:paraId="6E3737BE"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40" w:type="dxa"/>
          </w:tcPr>
          <w:p w14:paraId="57625D99"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tc>
        <w:tc>
          <w:tcPr>
            <w:tcW w:w="1694" w:type="dxa"/>
            <w:gridSpan w:val="2"/>
          </w:tcPr>
          <w:p w14:paraId="73AD8DDF" w14:textId="77777777" w:rsidR="00AD1F78" w:rsidRPr="00D24B03"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14.75</w:t>
            </w:r>
          </w:p>
        </w:tc>
      </w:tr>
    </w:tbl>
    <w:p w14:paraId="20064569" w14:textId="2BA1A2CA" w:rsidR="00F830B2" w:rsidRDefault="00AD1F78" w:rsidP="00F830B2">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3: Authorial categories and first-person pronouns across the data</w:t>
      </w:r>
    </w:p>
    <w:p w14:paraId="72EEEA75"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68461052" w14:textId="3D91DE34"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first thing that has to be pointed out from the results presented in Table 3 is that the methodology sections of single-authored articles published in African journals, with an average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occurrence of 1.0 is almost twice lower than the Western journal occurrence of 2.85. Taken as a marker of authorial voice and presence, this finding means that single-authors of RAs published in African journals do </w:t>
      </w:r>
      <w:proofErr w:type="gramStart"/>
      <w:r w:rsidRPr="00ED4813">
        <w:rPr>
          <w:rFonts w:ascii="Times New Roman" w:hAnsi="Times New Roman" w:cs="Times New Roman"/>
          <w:sz w:val="24"/>
          <w:szCs w:val="24"/>
          <w:lang w:val="en-US"/>
        </w:rPr>
        <w:t>have a tendency to</w:t>
      </w:r>
      <w:proofErr w:type="gramEnd"/>
      <w:r w:rsidRPr="00ED4813">
        <w:rPr>
          <w:rFonts w:ascii="Times New Roman" w:hAnsi="Times New Roman" w:cs="Times New Roman"/>
          <w:sz w:val="24"/>
          <w:szCs w:val="24"/>
          <w:lang w:val="en-US"/>
        </w:rPr>
        <w:t xml:space="preserve"> diminish their voice and presence in comparison to single-authors whose RAs are published in Western journals. This finding offers some evidence that does not contravene the widely accepted view that L2 writers have an aversion towards the use of the first person. This study does not, of course, make a distinction between </w:t>
      </w:r>
      <w:proofErr w:type="spellStart"/>
      <w:r w:rsidRPr="00ED4813">
        <w:rPr>
          <w:rFonts w:ascii="Times New Roman" w:hAnsi="Times New Roman" w:cs="Times New Roman"/>
          <w:sz w:val="24"/>
          <w:szCs w:val="24"/>
          <w:lang w:val="en-US"/>
        </w:rPr>
        <w:t>L1</w:t>
      </w:r>
      <w:proofErr w:type="spellEnd"/>
      <w:r w:rsidRPr="00ED4813">
        <w:rPr>
          <w:rFonts w:ascii="Times New Roman" w:hAnsi="Times New Roman" w:cs="Times New Roman"/>
          <w:sz w:val="24"/>
          <w:szCs w:val="24"/>
          <w:lang w:val="en-US"/>
        </w:rPr>
        <w:t xml:space="preserve"> and L2 authors publishing in the two journal categories. What the finding does point to is a possible correlation in the expression of voice between </w:t>
      </w:r>
      <w:proofErr w:type="spellStart"/>
      <w:r w:rsidRPr="00ED4813">
        <w:rPr>
          <w:rFonts w:ascii="Times New Roman" w:hAnsi="Times New Roman" w:cs="Times New Roman"/>
          <w:sz w:val="24"/>
          <w:szCs w:val="24"/>
          <w:lang w:val="en-US"/>
        </w:rPr>
        <w:t>L1</w:t>
      </w:r>
      <w:proofErr w:type="spellEnd"/>
      <w:r w:rsidRPr="00ED4813">
        <w:rPr>
          <w:rFonts w:ascii="Times New Roman" w:hAnsi="Times New Roman" w:cs="Times New Roman"/>
          <w:sz w:val="24"/>
          <w:szCs w:val="24"/>
          <w:lang w:val="en-US"/>
        </w:rPr>
        <w:t xml:space="preserve"> and L2 authors on the one hand, and Western Journals and African journals on the other. The argument can therefore be made that </w:t>
      </w:r>
      <w:proofErr w:type="gramStart"/>
      <w:r w:rsidRPr="00ED4813">
        <w:rPr>
          <w:rFonts w:ascii="Times New Roman" w:hAnsi="Times New Roman" w:cs="Times New Roman"/>
          <w:sz w:val="24"/>
          <w:szCs w:val="24"/>
          <w:lang w:val="en-US"/>
        </w:rPr>
        <w:t>single-authors</w:t>
      </w:r>
      <w:proofErr w:type="gramEnd"/>
      <w:r w:rsidRPr="00ED4813">
        <w:rPr>
          <w:rFonts w:ascii="Times New Roman" w:hAnsi="Times New Roman" w:cs="Times New Roman"/>
          <w:sz w:val="24"/>
          <w:szCs w:val="24"/>
          <w:lang w:val="en-US"/>
        </w:rPr>
        <w:t xml:space="preserve"> who publish in Western journals tend to explicitly state their agency in the methodology sections as compared to the single authors who publish in African journals. In this regard we can begin to formulate the point that authorial presence in the methodology sections of research articles published in Western journals is more pronounced.</w:t>
      </w:r>
    </w:p>
    <w:p w14:paraId="33CCD33E"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3C785D8B" w14:textId="52A58ADB"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as presented in Table 3 also indicate that multiple-authored methodology sections of RAs accounted for the clear majority (14.75) of the use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personal pronouns for Western journals and a relatively high of 1.17 for African journals. What is also clear from the table is that irrespective of the journal location, MA constitutes the category with the highest average of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usage. This statistical fact suggests strongly that there is greater authorial presence and visibility in multiple-authored methodology sections than for the two other author categories since these two other categories account for less than half of first-person </w:t>
      </w:r>
      <w:r w:rsidRPr="00ED4813">
        <w:rPr>
          <w:rFonts w:ascii="Times New Roman" w:hAnsi="Times New Roman" w:cs="Times New Roman"/>
          <w:sz w:val="24"/>
          <w:szCs w:val="24"/>
          <w:lang w:val="en-US"/>
        </w:rPr>
        <w:lastRenderedPageBreak/>
        <w:t>pronoun usage. This is especially the case for multiple-authored RAs published in Western journals.</w:t>
      </w:r>
    </w:p>
    <w:p w14:paraId="70A962E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433339"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Further, whereas it is the case that the first person is disproportionately (almost 8 times more for both the SA and DA categories) used more by multiple authors who publish in Western journals, it is not the case for African journals. For African journals, we see that MA is marginally higher than SA and only a little more than twice the average for DA. Therefore, it can be argued that authors who publish in both African and Western journals prefer expressing a collective authorial presence than for expressing individual authorial presence </w:t>
      </w:r>
      <w:proofErr w:type="gramStart"/>
      <w:r w:rsidRPr="00ED4813">
        <w:rPr>
          <w:rFonts w:ascii="Times New Roman" w:hAnsi="Times New Roman" w:cs="Times New Roman"/>
          <w:sz w:val="24"/>
          <w:szCs w:val="24"/>
          <w:lang w:val="en-US"/>
        </w:rPr>
        <w:t>through the use of</w:t>
      </w:r>
      <w:proofErr w:type="gramEnd"/>
      <w:r w:rsidRPr="00ED4813">
        <w:rPr>
          <w:rFonts w:ascii="Times New Roman" w:hAnsi="Times New Roman" w:cs="Times New Roman"/>
          <w:sz w:val="24"/>
          <w:szCs w:val="24"/>
          <w:lang w:val="en-US"/>
        </w:rPr>
        <w:t xml:space="preserve"> the first person. If this argument is plausible largely for the Western journal articles, to what extent does it hold for articles published in African journals, despite the close similarities for all authorial categories in the data? The evidence, as already indicated in this section, is that it is multiple-authored articles published in African journals that account for the highest use of the first person. Moreover, the data shows clearly that of the twelve (12) instances of use of the first person by single authors in African journals, seven (7) involved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(we). Since it is grammatically incongruent for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to have a singular referent within the discourse, we cannot argue that the use of this pronoun by single authors constitutes the expression of an individual authorial presence. A possible inference from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here is that it reveals a reluctance to express the individual authorial presence. This suppression of the individual authorial presence is demonstrated by the transitivity patterns for clauses in which the Actor is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We find that for all the seven (7) clauses, the processes are material.  This means that even for instances in which the individual author is performing actions that are at the core of the research activity, there is still a proclivity not to individuate the authorial presence. Rather the inclination is to </w:t>
      </w:r>
      <w:proofErr w:type="spellStart"/>
      <w:r w:rsidRPr="00ED4813">
        <w:rPr>
          <w:rFonts w:ascii="Times New Roman" w:hAnsi="Times New Roman" w:cs="Times New Roman"/>
          <w:sz w:val="24"/>
          <w:szCs w:val="24"/>
          <w:lang w:val="en-US"/>
        </w:rPr>
        <w:t>collectivise</w:t>
      </w:r>
      <w:proofErr w:type="spellEnd"/>
      <w:r w:rsidRPr="00ED4813">
        <w:rPr>
          <w:rFonts w:ascii="Times New Roman" w:hAnsi="Times New Roman" w:cs="Times New Roman"/>
          <w:sz w:val="24"/>
          <w:szCs w:val="24"/>
          <w:lang w:val="en-US"/>
        </w:rPr>
        <w:t xml:space="preserve"> voice and presence. The analysis therefore reveals that in the case of single-authored methodology sections of research articles published in African journals, there is a deliberate pluralization of the singular actor. This constitutes a strategy by which individual authorial presence and voice is suppressed in texts while the expression of the collective presence and voice is promoted simultaneously.</w:t>
      </w:r>
    </w:p>
    <w:p w14:paraId="0610D15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E3B18CB"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Secondly, the comparison of the results shows a divergence (0.33 and 2.54) for African and Western journals respectively for the co-author category. The use of the first person within this category is just like for the MA authorial category. Unlike the </w:t>
      </w:r>
      <w:proofErr w:type="gramStart"/>
      <w:r w:rsidRPr="00ED4813">
        <w:rPr>
          <w:rFonts w:ascii="Times New Roman" w:hAnsi="Times New Roman" w:cs="Times New Roman"/>
          <w:sz w:val="24"/>
          <w:szCs w:val="24"/>
          <w:lang w:val="en-US"/>
        </w:rPr>
        <w:t>single-author</w:t>
      </w:r>
      <w:proofErr w:type="gramEnd"/>
      <w:r w:rsidRPr="00ED4813">
        <w:rPr>
          <w:rFonts w:ascii="Times New Roman" w:hAnsi="Times New Roman" w:cs="Times New Roman"/>
          <w:sz w:val="24"/>
          <w:szCs w:val="24"/>
          <w:lang w:val="en-US"/>
        </w:rPr>
        <w:t xml:space="preserve"> where we find instances of use of both the singular and plural first person, only the first person plural is used in this authorial category without variability.  From both grammatical and discoursal points of view, this is expected since it is ungrammatical for the first person singular to be used in any circumstance for a plural nominal referent. From the discoursal perspective,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singular unlike the first person plural, does not have the ability of drawing the audience into the discourse. Another perspective from which the results, in terms of the use of the first person within this authorial category </w:t>
      </w:r>
      <w:proofErr w:type="gramStart"/>
      <w:r w:rsidRPr="00ED4813">
        <w:rPr>
          <w:rFonts w:ascii="Times New Roman" w:hAnsi="Times New Roman" w:cs="Times New Roman"/>
          <w:sz w:val="24"/>
          <w:szCs w:val="24"/>
          <w:lang w:val="en-US"/>
        </w:rPr>
        <w:t>have to</w:t>
      </w:r>
      <w:proofErr w:type="gramEnd"/>
      <w:r w:rsidRPr="00ED4813">
        <w:rPr>
          <w:rFonts w:ascii="Times New Roman" w:hAnsi="Times New Roman" w:cs="Times New Roman"/>
          <w:sz w:val="24"/>
          <w:szCs w:val="24"/>
          <w:lang w:val="en-US"/>
        </w:rPr>
        <w:t xml:space="preserve"> be examined is the implication of the statistical results for authorial presence. The comparatively low usage of the first person here is evidence in support of the observation that the co-authors tend to not indicate their authorial presence </w:t>
      </w:r>
      <w:proofErr w:type="gramStart"/>
      <w:r w:rsidRPr="00ED4813">
        <w:rPr>
          <w:rFonts w:ascii="Times New Roman" w:hAnsi="Times New Roman" w:cs="Times New Roman"/>
          <w:sz w:val="24"/>
          <w:szCs w:val="24"/>
          <w:lang w:val="en-US"/>
        </w:rPr>
        <w:t>through the use of</w:t>
      </w:r>
      <w:proofErr w:type="gramEnd"/>
      <w:r w:rsidRPr="00ED4813">
        <w:rPr>
          <w:rFonts w:ascii="Times New Roman" w:hAnsi="Times New Roman" w:cs="Times New Roman"/>
          <w:sz w:val="24"/>
          <w:szCs w:val="24"/>
          <w:lang w:val="en-US"/>
        </w:rPr>
        <w:t xml:space="preserve"> the first person. This observation is in relation to the two other authorial categories. From this perspective, the argument </w:t>
      </w:r>
      <w:proofErr w:type="gramStart"/>
      <w:r w:rsidRPr="00ED4813">
        <w:rPr>
          <w:rFonts w:ascii="Times New Roman" w:hAnsi="Times New Roman" w:cs="Times New Roman"/>
          <w:sz w:val="24"/>
          <w:szCs w:val="24"/>
          <w:lang w:val="en-US"/>
        </w:rPr>
        <w:t>has to</w:t>
      </w:r>
      <w:proofErr w:type="gramEnd"/>
      <w:r w:rsidRPr="00ED4813">
        <w:rPr>
          <w:rFonts w:ascii="Times New Roman" w:hAnsi="Times New Roman" w:cs="Times New Roman"/>
          <w:sz w:val="24"/>
          <w:szCs w:val="24"/>
          <w:lang w:val="en-US"/>
        </w:rPr>
        <w:t xml:space="preserve"> be made </w:t>
      </w:r>
      <w:r w:rsidRPr="00ED4813">
        <w:rPr>
          <w:rFonts w:ascii="Times New Roman" w:hAnsi="Times New Roman" w:cs="Times New Roman"/>
          <w:sz w:val="24"/>
          <w:szCs w:val="24"/>
          <w:lang w:val="en-US"/>
        </w:rPr>
        <w:lastRenderedPageBreak/>
        <w:t>that in comparison with the other two authorial categories, co-authors prefer not to indicate their authorial presence and voice through the first person.</w:t>
      </w:r>
    </w:p>
    <w:p w14:paraId="4C331410"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E958E5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Perhaps a more wholistic view in terms of the relationship between the three authorial categories and the signaling of authorial presence and voice through the first person is demonstrated by an analysis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within the three categories and across the entire data. Table 4 provides a summary of the distribution of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across the three authorial categories.</w:t>
      </w:r>
    </w:p>
    <w:tbl>
      <w:tblPr>
        <w:tblStyle w:val="GridTable5Dark"/>
        <w:tblpPr w:leftFromText="180" w:rightFromText="180" w:vertAnchor="text" w:horzAnchor="margin" w:tblpXSpec="center" w:tblpY="178"/>
        <w:tblW w:w="7933" w:type="dxa"/>
        <w:tblLayout w:type="fixed"/>
        <w:tblLook w:val="04A0" w:firstRow="1" w:lastRow="0" w:firstColumn="1" w:lastColumn="0" w:noHBand="0" w:noVBand="1"/>
      </w:tblPr>
      <w:tblGrid>
        <w:gridCol w:w="1413"/>
        <w:gridCol w:w="1559"/>
        <w:gridCol w:w="992"/>
        <w:gridCol w:w="993"/>
        <w:gridCol w:w="992"/>
        <w:gridCol w:w="1984"/>
      </w:tblGrid>
      <w:tr w:rsidR="00DD44EC" w:rsidRPr="00D24B03" w14:paraId="3378F295" w14:textId="77777777" w:rsidTr="00DD44E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50AD6842"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Authorial category</w:t>
            </w:r>
          </w:p>
        </w:tc>
        <w:tc>
          <w:tcPr>
            <w:tcW w:w="1559" w:type="dxa"/>
            <w:vMerge w:val="restart"/>
          </w:tcPr>
          <w:p w14:paraId="27859E2B"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D24B03">
              <w:rPr>
                <w:rFonts w:ascii="Times New Roman" w:hAnsi="Times New Roman" w:cs="Times New Roman"/>
                <w:b w:val="0"/>
                <w:bCs w:val="0"/>
                <w:color w:val="auto"/>
                <w:sz w:val="20"/>
                <w:szCs w:val="20"/>
                <w:lang w:val="en-US"/>
              </w:rPr>
              <w:t>Number of RAs</w:t>
            </w:r>
          </w:p>
        </w:tc>
        <w:tc>
          <w:tcPr>
            <w:tcW w:w="2977" w:type="dxa"/>
            <w:gridSpan w:val="3"/>
          </w:tcPr>
          <w:p w14:paraId="4C11AA91" w14:textId="77777777" w:rsidR="00DD44EC" w:rsidRPr="00D24B03" w:rsidRDefault="00DD44EC" w:rsidP="00DD44E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Frequency</w:t>
            </w:r>
          </w:p>
        </w:tc>
        <w:tc>
          <w:tcPr>
            <w:tcW w:w="1984" w:type="dxa"/>
            <w:vMerge w:val="restart"/>
          </w:tcPr>
          <w:p w14:paraId="5CC95970"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Average occurrence of WE</w:t>
            </w:r>
          </w:p>
        </w:tc>
      </w:tr>
      <w:tr w:rsidR="00DD44EC" w:rsidRPr="00D24B03" w14:paraId="7652EFB3" w14:textId="77777777" w:rsidTr="00DD44E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13" w:type="dxa"/>
            <w:vMerge/>
          </w:tcPr>
          <w:p w14:paraId="41FF1040" w14:textId="77777777" w:rsidR="00DD44EC" w:rsidRPr="00D24B03" w:rsidRDefault="00DD44EC" w:rsidP="00DD44EC">
            <w:pPr>
              <w:contextualSpacing/>
              <w:jc w:val="both"/>
              <w:rPr>
                <w:rFonts w:ascii="Times New Roman" w:hAnsi="Times New Roman" w:cs="Times New Roman"/>
                <w:color w:val="auto"/>
                <w:sz w:val="20"/>
                <w:szCs w:val="20"/>
                <w:lang w:val="en-US"/>
              </w:rPr>
            </w:pPr>
          </w:p>
        </w:tc>
        <w:tc>
          <w:tcPr>
            <w:tcW w:w="1559" w:type="dxa"/>
            <w:vMerge/>
          </w:tcPr>
          <w:p w14:paraId="711F441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992" w:type="dxa"/>
          </w:tcPr>
          <w:p w14:paraId="5783DBD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993" w:type="dxa"/>
          </w:tcPr>
          <w:p w14:paraId="78962EB5" w14:textId="77777777" w:rsidR="00DD44EC" w:rsidRPr="00DD44EC"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 journals</w:t>
            </w:r>
          </w:p>
        </w:tc>
        <w:tc>
          <w:tcPr>
            <w:tcW w:w="992" w:type="dxa"/>
          </w:tcPr>
          <w:p w14:paraId="348AC0E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Total count</w:t>
            </w:r>
          </w:p>
        </w:tc>
        <w:tc>
          <w:tcPr>
            <w:tcW w:w="1984" w:type="dxa"/>
            <w:vMerge/>
          </w:tcPr>
          <w:p w14:paraId="4A172E2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DD44EC" w:rsidRPr="00D24B03" w14:paraId="34F56594"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66C29C3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Single-authored</w:t>
            </w:r>
          </w:p>
        </w:tc>
        <w:tc>
          <w:tcPr>
            <w:tcW w:w="1559" w:type="dxa"/>
          </w:tcPr>
          <w:p w14:paraId="52EEC882"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19</w:t>
            </w:r>
          </w:p>
        </w:tc>
        <w:tc>
          <w:tcPr>
            <w:tcW w:w="992" w:type="dxa"/>
          </w:tcPr>
          <w:p w14:paraId="2D8F12B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64CE017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w:t>
            </w:r>
          </w:p>
          <w:p w14:paraId="4E1B569F"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09D6FF8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8</w:t>
            </w:r>
          </w:p>
          <w:p w14:paraId="1815E23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A9441B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44A97B8B"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0.42</w:t>
            </w:r>
          </w:p>
        </w:tc>
      </w:tr>
      <w:tr w:rsidR="00DD44EC" w:rsidRPr="00D24B03" w14:paraId="0265B6B2" w14:textId="77777777" w:rsidTr="00DD4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546AFB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Co-authored</w:t>
            </w:r>
          </w:p>
        </w:tc>
        <w:tc>
          <w:tcPr>
            <w:tcW w:w="1559" w:type="dxa"/>
          </w:tcPr>
          <w:p w14:paraId="43CED35F"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23</w:t>
            </w:r>
          </w:p>
        </w:tc>
        <w:tc>
          <w:tcPr>
            <w:tcW w:w="992" w:type="dxa"/>
          </w:tcPr>
          <w:p w14:paraId="708FB49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993" w:type="dxa"/>
          </w:tcPr>
          <w:p w14:paraId="540FA67F"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p w14:paraId="7773456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1C3A7682"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32</w:t>
            </w:r>
          </w:p>
          <w:p w14:paraId="09E116E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1B38157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1984" w:type="dxa"/>
          </w:tcPr>
          <w:p w14:paraId="519CAB5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1.39</w:t>
            </w:r>
          </w:p>
        </w:tc>
      </w:tr>
      <w:tr w:rsidR="00DD44EC" w:rsidRPr="00D24B03" w14:paraId="55CCAFFB"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131E83D6" w14:textId="77777777" w:rsidR="00DD44EC" w:rsidRPr="00D24B03" w:rsidRDefault="00DD44EC" w:rsidP="00DD44EC">
            <w:pPr>
              <w:contextualSpacing/>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Multiple-authored</w:t>
            </w:r>
          </w:p>
        </w:tc>
        <w:tc>
          <w:tcPr>
            <w:tcW w:w="1559" w:type="dxa"/>
          </w:tcPr>
          <w:p w14:paraId="14B472ED" w14:textId="77777777" w:rsidR="00DD44EC" w:rsidRPr="00D24B03" w:rsidRDefault="00DD44EC" w:rsidP="00DD44EC">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18</w:t>
            </w:r>
          </w:p>
        </w:tc>
        <w:tc>
          <w:tcPr>
            <w:tcW w:w="992" w:type="dxa"/>
          </w:tcPr>
          <w:p w14:paraId="69A9B1D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2E181A03"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p w14:paraId="6DAAB290"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4891377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184</w:t>
            </w:r>
          </w:p>
          <w:p w14:paraId="0609EBDC"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45AA14AA"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28E78B03"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10.22</w:t>
            </w:r>
          </w:p>
        </w:tc>
      </w:tr>
      <w:tr w:rsidR="00DD44EC" w:rsidRPr="00D24B03" w14:paraId="2DEDF94C" w14:textId="77777777" w:rsidTr="00DD44EC">
        <w:trPr>
          <w:gridAfter w:val="1"/>
          <w:cnfStyle w:val="000000100000" w:firstRow="0" w:lastRow="0" w:firstColumn="0" w:lastColumn="0" w:oddVBand="0" w:evenVBand="0" w:oddHBand="1" w:evenHBand="0" w:firstRowFirstColumn="0" w:firstRowLastColumn="0" w:lastRowFirstColumn="0" w:lastRowLastColumn="0"/>
          <w:wAfter w:w="1984" w:type="dxa"/>
        </w:trPr>
        <w:tc>
          <w:tcPr>
            <w:cnfStyle w:val="001000000000" w:firstRow="0" w:lastRow="0" w:firstColumn="1" w:lastColumn="0" w:oddVBand="0" w:evenVBand="0" w:oddHBand="0" w:evenHBand="0" w:firstRowFirstColumn="0" w:firstRowLastColumn="0" w:lastRowFirstColumn="0" w:lastRowLastColumn="0"/>
            <w:tcW w:w="1413" w:type="dxa"/>
          </w:tcPr>
          <w:p w14:paraId="28880B6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Total</w:t>
            </w:r>
          </w:p>
        </w:tc>
        <w:tc>
          <w:tcPr>
            <w:tcW w:w="1559" w:type="dxa"/>
          </w:tcPr>
          <w:p w14:paraId="0629178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60</w:t>
            </w:r>
          </w:p>
        </w:tc>
        <w:tc>
          <w:tcPr>
            <w:tcW w:w="992" w:type="dxa"/>
          </w:tcPr>
          <w:p w14:paraId="71784B9D"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w:t>
            </w:r>
          </w:p>
        </w:tc>
        <w:tc>
          <w:tcPr>
            <w:tcW w:w="993" w:type="dxa"/>
          </w:tcPr>
          <w:p w14:paraId="2EF9C15E"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206</w:t>
            </w:r>
          </w:p>
          <w:p w14:paraId="3E7C0C63"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37F4189E"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224</w:t>
            </w:r>
          </w:p>
          <w:p w14:paraId="2A61396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6EE3A2EB"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2A837CD9" w14:textId="77777777" w:rsidR="00AD1F78" w:rsidRPr="00ED4813" w:rsidRDefault="00AD1F78" w:rsidP="00AD1F78">
      <w:pPr>
        <w:spacing w:line="240" w:lineRule="auto"/>
        <w:contextualSpacing/>
        <w:jc w:val="both"/>
        <w:rPr>
          <w:rFonts w:ascii="Times New Roman" w:hAnsi="Times New Roman" w:cs="Times New Roman"/>
          <w:i/>
          <w:sz w:val="24"/>
          <w:szCs w:val="24"/>
          <w:lang w:val="en-US"/>
        </w:rPr>
      </w:pPr>
    </w:p>
    <w:p w14:paraId="1972CAC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3DA2EA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4: Distribution of WE across the three authorial categories</w:t>
      </w:r>
    </w:p>
    <w:p w14:paraId="443C87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136441E"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4 indicates clearly that the multi-authored category accounts for a disproportionate amount with respect to the use of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It would have made sense to simply put forth the argument that since the referent of ‘we’ in the multiple-authored methodology sections is plural, the pronoun used ought to express that plurality. This argument cannot be convincing given the fact that the same grammatical circumstance holds for the co-author category. In view of these two contrasting results, the conclusion that </w:t>
      </w:r>
      <w:proofErr w:type="gramStart"/>
      <w:r w:rsidRPr="00ED4813">
        <w:rPr>
          <w:rFonts w:ascii="Times New Roman" w:hAnsi="Times New Roman" w:cs="Times New Roman"/>
          <w:sz w:val="24"/>
          <w:szCs w:val="24"/>
          <w:lang w:val="en-US"/>
        </w:rPr>
        <w:t>has to</w:t>
      </w:r>
      <w:proofErr w:type="gramEnd"/>
      <w:r w:rsidRPr="00ED4813">
        <w:rPr>
          <w:rFonts w:ascii="Times New Roman" w:hAnsi="Times New Roman" w:cs="Times New Roman"/>
          <w:sz w:val="24"/>
          <w:szCs w:val="24"/>
          <w:lang w:val="en-US"/>
        </w:rPr>
        <w:t xml:space="preserve"> be drawn is that the results indicate a preference for the expression of authorial presence and voice through the use of ‘we’ by multiple authors. In the case of co-authors, the findings indicate that there is a reluctance for the expression of authorial presence and voice through the use of </w:t>
      </w:r>
      <w:proofErr w:type="gramStart"/>
      <w:r w:rsidRPr="00ED4813">
        <w:rPr>
          <w:rFonts w:ascii="Times New Roman" w:hAnsi="Times New Roman" w:cs="Times New Roman"/>
          <w:sz w:val="24"/>
          <w:szCs w:val="24"/>
          <w:lang w:val="en-US"/>
        </w:rPr>
        <w:t>‘we’</w:t>
      </w:r>
      <w:proofErr w:type="gramEnd"/>
      <w:r w:rsidRPr="00ED4813">
        <w:rPr>
          <w:rFonts w:ascii="Times New Roman" w:hAnsi="Times New Roman" w:cs="Times New Roman"/>
          <w:sz w:val="24"/>
          <w:szCs w:val="24"/>
          <w:lang w:val="en-US"/>
        </w:rPr>
        <w:t>.</w:t>
      </w:r>
    </w:p>
    <w:p w14:paraId="79E00A43" w14:textId="20096321" w:rsidR="00AD1F78" w:rsidRPr="00ED4813" w:rsidRDefault="00AD1F78" w:rsidP="00F830B2">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Transitivity and Authorial Voice and Presence</w:t>
      </w:r>
    </w:p>
    <w:p w14:paraId="22F6A49A"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this section, we proceed to examine the kinds of processes involved in clauses in which there is the use of the first person and how these processes and, of course, participants relate to the expression or otherwise of authorial presence and voice. Especially in relation to the processes, the argument from a theoretical perspective is that the nature of experience of the reality as expressed in the clauses has implications for authorial presence and voice. </w:t>
      </w:r>
    </w:p>
    <w:p w14:paraId="6B156FF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074AC79"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Five process types were identified from the data, namely, material, mental, relational, </w:t>
      </w:r>
      <w:proofErr w:type="gramStart"/>
      <w:r w:rsidRPr="00ED4813">
        <w:rPr>
          <w:rFonts w:ascii="Times New Roman" w:hAnsi="Times New Roman" w:cs="Times New Roman"/>
          <w:sz w:val="24"/>
          <w:szCs w:val="24"/>
          <w:lang w:val="en-US"/>
        </w:rPr>
        <w:t>verbal</w:t>
      </w:r>
      <w:proofErr w:type="gramEnd"/>
      <w:r w:rsidRPr="00ED4813">
        <w:rPr>
          <w:rFonts w:ascii="Times New Roman" w:hAnsi="Times New Roman" w:cs="Times New Roman"/>
          <w:sz w:val="24"/>
          <w:szCs w:val="24"/>
          <w:lang w:val="en-US"/>
        </w:rPr>
        <w:t xml:space="preserve"> and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and the analysis indicates variation in terms of the occurrence and distribution of these process types. For the data taken from articles published in both the African and Western journals, the following results were obtained as indicated in Table 5.</w:t>
      </w:r>
    </w:p>
    <w:p w14:paraId="070966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0" w:type="auto"/>
        <w:tblLook w:val="04A0" w:firstRow="1" w:lastRow="0" w:firstColumn="1" w:lastColumn="0" w:noHBand="0" w:noVBand="1"/>
      </w:tblPr>
      <w:tblGrid>
        <w:gridCol w:w="1274"/>
        <w:gridCol w:w="1145"/>
        <w:gridCol w:w="1749"/>
        <w:gridCol w:w="1194"/>
        <w:gridCol w:w="1390"/>
        <w:gridCol w:w="1461"/>
      </w:tblGrid>
      <w:tr w:rsidR="00AD1F78" w:rsidRPr="00ED4813" w14:paraId="0032E8FB" w14:textId="77777777" w:rsidTr="003E0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6"/>
          </w:tcPr>
          <w:p w14:paraId="0EB63C45" w14:textId="77777777" w:rsidR="00AD1F78" w:rsidRPr="00DD44EC" w:rsidRDefault="00AD1F78" w:rsidP="003E0B37">
            <w:pPr>
              <w:contextualSpacing/>
              <w:jc w:val="center"/>
              <w:rPr>
                <w:rFonts w:ascii="Times New Roman" w:hAnsi="Times New Roman" w:cs="Times New Roman"/>
                <w:color w:val="auto"/>
                <w:sz w:val="20"/>
                <w:szCs w:val="20"/>
                <w:lang w:val="en-US"/>
              </w:rPr>
            </w:pPr>
            <w:r w:rsidRPr="00DD44EC">
              <w:rPr>
                <w:rFonts w:ascii="Times New Roman" w:hAnsi="Times New Roman" w:cs="Times New Roman"/>
                <w:color w:val="auto"/>
                <w:sz w:val="20"/>
                <w:szCs w:val="20"/>
                <w:lang w:val="en-US"/>
              </w:rPr>
              <w:t>Journal Location</w:t>
            </w:r>
          </w:p>
        </w:tc>
      </w:tr>
      <w:tr w:rsidR="00AD1F78" w:rsidRPr="00ED4813" w14:paraId="12AE2496" w14:textId="77777777" w:rsidTr="003E0B37">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816" w:type="dxa"/>
            <w:gridSpan w:val="3"/>
          </w:tcPr>
          <w:p w14:paraId="3C20845B"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 xml:space="preserve">African </w:t>
            </w:r>
          </w:p>
        </w:tc>
        <w:tc>
          <w:tcPr>
            <w:tcW w:w="4534" w:type="dxa"/>
            <w:gridSpan w:val="3"/>
          </w:tcPr>
          <w:p w14:paraId="4682601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w:t>
            </w:r>
          </w:p>
        </w:tc>
      </w:tr>
      <w:tr w:rsidR="00AD1F78" w:rsidRPr="00ED4813" w14:paraId="46514760" w14:textId="77777777" w:rsidTr="003E0B37">
        <w:trPr>
          <w:trHeight w:val="210"/>
        </w:trPr>
        <w:tc>
          <w:tcPr>
            <w:cnfStyle w:val="001000000000" w:firstRow="0" w:lastRow="0" w:firstColumn="1" w:lastColumn="0" w:oddVBand="0" w:evenVBand="0" w:oddHBand="0" w:evenHBand="0" w:firstRowFirstColumn="0" w:firstRowLastColumn="0" w:lastRowFirstColumn="0" w:lastRowLastColumn="0"/>
            <w:tcW w:w="1281" w:type="dxa"/>
          </w:tcPr>
          <w:p w14:paraId="3DBE3F1F"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441" w:type="dxa"/>
          </w:tcPr>
          <w:p w14:paraId="46885DAE"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2094" w:type="dxa"/>
          </w:tcPr>
          <w:p w14:paraId="787EB8BF"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c>
          <w:tcPr>
            <w:tcW w:w="1065" w:type="dxa"/>
          </w:tcPr>
          <w:p w14:paraId="30825DB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815" w:type="dxa"/>
          </w:tcPr>
          <w:p w14:paraId="1452FA4C"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1654" w:type="dxa"/>
          </w:tcPr>
          <w:p w14:paraId="4E58F8E5"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r>
      <w:tr w:rsidR="00AD1F78" w:rsidRPr="00ED4813" w14:paraId="7FD75299" w14:textId="77777777" w:rsidTr="003E0B3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81" w:type="dxa"/>
          </w:tcPr>
          <w:p w14:paraId="372C1414"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441" w:type="dxa"/>
          </w:tcPr>
          <w:p w14:paraId="310B13D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2094" w:type="dxa"/>
          </w:tcPr>
          <w:p w14:paraId="1103F685"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0.00006</w:t>
            </w:r>
          </w:p>
        </w:tc>
        <w:tc>
          <w:tcPr>
            <w:tcW w:w="1065" w:type="dxa"/>
          </w:tcPr>
          <w:p w14:paraId="60150BA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815" w:type="dxa"/>
          </w:tcPr>
          <w:p w14:paraId="226C0B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20</w:t>
            </w:r>
          </w:p>
        </w:tc>
        <w:tc>
          <w:tcPr>
            <w:tcW w:w="1654" w:type="dxa"/>
          </w:tcPr>
          <w:p w14:paraId="26149C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bookmarkStart w:id="2" w:name="_Hlk10821141"/>
            <w:r w:rsidRPr="00DD44EC">
              <w:rPr>
                <w:rFonts w:ascii="Times New Roman" w:hAnsi="Times New Roman" w:cs="Times New Roman"/>
                <w:sz w:val="20"/>
                <w:szCs w:val="20"/>
                <w:lang w:val="en-US"/>
              </w:rPr>
              <w:t>0.00094</w:t>
            </w:r>
            <w:bookmarkEnd w:id="2"/>
          </w:p>
        </w:tc>
      </w:tr>
      <w:tr w:rsidR="00AD1F78" w:rsidRPr="00ED4813" w14:paraId="2031463A" w14:textId="77777777" w:rsidTr="003E0B37">
        <w:trPr>
          <w:trHeight w:val="120"/>
        </w:trPr>
        <w:tc>
          <w:tcPr>
            <w:cnfStyle w:val="001000000000" w:firstRow="0" w:lastRow="0" w:firstColumn="1" w:lastColumn="0" w:oddVBand="0" w:evenVBand="0" w:oddHBand="0" w:evenHBand="0" w:firstRowFirstColumn="0" w:firstRowLastColumn="0" w:lastRowFirstColumn="0" w:lastRowLastColumn="0"/>
            <w:tcW w:w="1281" w:type="dxa"/>
          </w:tcPr>
          <w:p w14:paraId="0288BCBC"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441" w:type="dxa"/>
          </w:tcPr>
          <w:p w14:paraId="52BD233B"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17</w:t>
            </w:r>
          </w:p>
        </w:tc>
        <w:tc>
          <w:tcPr>
            <w:tcW w:w="2094" w:type="dxa"/>
          </w:tcPr>
          <w:p w14:paraId="3CFD6B5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0.0011</w:t>
            </w:r>
          </w:p>
        </w:tc>
        <w:tc>
          <w:tcPr>
            <w:tcW w:w="1065" w:type="dxa"/>
          </w:tcPr>
          <w:p w14:paraId="610C08C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815" w:type="dxa"/>
          </w:tcPr>
          <w:p w14:paraId="25BA87A7"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138</w:t>
            </w:r>
          </w:p>
        </w:tc>
        <w:tc>
          <w:tcPr>
            <w:tcW w:w="1654" w:type="dxa"/>
          </w:tcPr>
          <w:p w14:paraId="7FF2C9B6"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0.0065</w:t>
            </w:r>
          </w:p>
        </w:tc>
      </w:tr>
      <w:tr w:rsidR="00AD1F78" w:rsidRPr="00ED4813" w14:paraId="36DBE0D7" w14:textId="77777777" w:rsidTr="003E0B37">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281" w:type="dxa"/>
          </w:tcPr>
          <w:p w14:paraId="1D5FE355" w14:textId="77777777" w:rsidR="00AD1F78" w:rsidRPr="00DD44EC" w:rsidRDefault="00AD1F78" w:rsidP="003E0B37">
            <w:pPr>
              <w:contextualSpacing/>
              <w:jc w:val="both"/>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441" w:type="dxa"/>
          </w:tcPr>
          <w:p w14:paraId="02A0F991"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7492E04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41B3E5C2"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815" w:type="dxa"/>
          </w:tcPr>
          <w:p w14:paraId="2D8210BB"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1654" w:type="dxa"/>
          </w:tcPr>
          <w:p w14:paraId="71C893D2"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0.00004</w:t>
            </w:r>
          </w:p>
        </w:tc>
      </w:tr>
      <w:tr w:rsidR="00AD1F78" w:rsidRPr="00ED4813" w14:paraId="3FAD214B" w14:textId="77777777" w:rsidTr="003E0B37">
        <w:trPr>
          <w:trHeight w:val="165"/>
        </w:trPr>
        <w:tc>
          <w:tcPr>
            <w:cnfStyle w:val="001000000000" w:firstRow="0" w:lastRow="0" w:firstColumn="1" w:lastColumn="0" w:oddVBand="0" w:evenVBand="0" w:oddHBand="0" w:evenHBand="0" w:firstRowFirstColumn="0" w:firstRowLastColumn="0" w:lastRowFirstColumn="0" w:lastRowLastColumn="0"/>
            <w:tcW w:w="1281" w:type="dxa"/>
          </w:tcPr>
          <w:p w14:paraId="2C4D7432"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441" w:type="dxa"/>
          </w:tcPr>
          <w:p w14:paraId="326F5EB5"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5</w:t>
            </w:r>
          </w:p>
        </w:tc>
        <w:tc>
          <w:tcPr>
            <w:tcW w:w="2094" w:type="dxa"/>
          </w:tcPr>
          <w:p w14:paraId="7591169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0.00033</w:t>
            </w:r>
          </w:p>
        </w:tc>
        <w:tc>
          <w:tcPr>
            <w:tcW w:w="1065" w:type="dxa"/>
          </w:tcPr>
          <w:p w14:paraId="5A1CEB69"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815" w:type="dxa"/>
          </w:tcPr>
          <w:p w14:paraId="227FF07D"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40</w:t>
            </w:r>
          </w:p>
        </w:tc>
        <w:tc>
          <w:tcPr>
            <w:tcW w:w="1654" w:type="dxa"/>
          </w:tcPr>
          <w:p w14:paraId="2139C0FB" w14:textId="77777777" w:rsidR="00AD1F78" w:rsidRPr="00DD44EC" w:rsidRDefault="00AD1F78" w:rsidP="003E0B3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0.0018</w:t>
            </w:r>
          </w:p>
        </w:tc>
      </w:tr>
      <w:tr w:rsidR="00AD1F78" w:rsidRPr="00ED4813" w14:paraId="024BCEC6" w14:textId="77777777" w:rsidTr="003E0B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81" w:type="dxa"/>
          </w:tcPr>
          <w:p w14:paraId="6FE3185A" w14:textId="77777777" w:rsidR="00AD1F78" w:rsidRPr="00DD44EC" w:rsidRDefault="00AD1F78" w:rsidP="003E0B3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441" w:type="dxa"/>
          </w:tcPr>
          <w:p w14:paraId="762A3A4A"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4D0B23FD"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3F708B89"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815" w:type="dxa"/>
          </w:tcPr>
          <w:p w14:paraId="5BA5CC74"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26</w:t>
            </w:r>
          </w:p>
        </w:tc>
        <w:tc>
          <w:tcPr>
            <w:tcW w:w="1654" w:type="dxa"/>
          </w:tcPr>
          <w:p w14:paraId="02A15523" w14:textId="77777777" w:rsidR="00AD1F78" w:rsidRPr="00DD44EC" w:rsidRDefault="00AD1F78" w:rsidP="003E0B3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0.0012</w:t>
            </w:r>
          </w:p>
        </w:tc>
      </w:tr>
    </w:tbl>
    <w:p w14:paraId="3148381B"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3A9D3AC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5: Process types across the data</w:t>
      </w:r>
    </w:p>
    <w:p w14:paraId="3CE571E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94ED9C5"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indicate that the material process clause type is most used in the methodology section of research articles in both sets of data (African journals and Western journals). The frequency of use of this process in the African and Western journals is similar as can be seen in the average occurrence of this process for both the African and Western journals from the table. The material process type is followed by the mental process clause type for both sets of data with difference in frequency of occurrence. The relational which is not used in the African journal RAs constitutes the third frequently used clause type for both sets, the verbal process clause type ranks fourth for both sets of data; with the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clause type constituting the least used. The table indicates that comparatively, there are fewer uses of all the process types in the African journal articles than in the Western.</w:t>
      </w:r>
    </w:p>
    <w:p w14:paraId="71053F4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15918B3"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lang w:val="en-US"/>
        </w:rPr>
        <w:t xml:space="preserve">As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{"citationItems":[{"id":"ITEM-1","itemData":{"author":[{"dropping-particle":"","family":"Simpson","given":"Paul","non-dropping-particle":"","parse-names":false,"suffix":""}],"id":"ITEM-1","issued":{"date-parts":[["1993"]]},"publisher":"Routledge","publisher-place":"New York","title":"Language, ideology and point of view","type":"book"},"uris":["http://www.mendeley.com/documents/?uuid=4c85d486-dc01-4634-a119-84110267b010"]}],"mendeley":{"formattedCitation":"(Simpson, 1993)","manualFormatting":"Simpson (1993)","plainTextFormattedCitation":"(Simpson, 1993)","previouslyFormattedCitation":"(Simpson, 1993)"},"properties":{"noteIndex":0},"schema":"https://github.com/citation-style-language/schema/raw/master/csl-citation.json"}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Simpson (1993)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has pointed out, “transitivity</w:t>
      </w:r>
      <w:r w:rsidRPr="00ED4813">
        <w:rPr>
          <w:rFonts w:ascii="Times New Roman" w:hAnsi="Times New Roman" w:cs="Times New Roman"/>
          <w:sz w:val="24"/>
          <w:szCs w:val="24"/>
        </w:rPr>
        <w:t xml:space="preserve"> offers systematic choice, and any particular textual configuration is only one, perhaps strategically motivated, option from a pool of possible textual configurations” (p. 26). The implication of this argument is that the choices of clausal configurations within the transitivity system is clearly motivated and driven by an established purpose. From this perspective, this paper examines the relationship between clausal choices and the communication of authorial voice and presence in the methodology section of the research articles.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Halliday (1994)</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in discussing the different processes in the transitivity system, notes that material processes are processes that relate physical experience and that this physical experience </w:t>
      </w:r>
      <w:proofErr w:type="gramStart"/>
      <w:r w:rsidRPr="00ED4813">
        <w:rPr>
          <w:rFonts w:ascii="Times New Roman" w:hAnsi="Times New Roman" w:cs="Times New Roman"/>
          <w:sz w:val="24"/>
          <w:szCs w:val="24"/>
        </w:rPr>
        <w:t>involves usually</w:t>
      </w:r>
      <w:proofErr w:type="gramEnd"/>
      <w:r w:rsidRPr="00ED4813">
        <w:rPr>
          <w:rFonts w:ascii="Times New Roman" w:hAnsi="Times New Roman" w:cs="Times New Roman"/>
          <w:sz w:val="24"/>
          <w:szCs w:val="24"/>
        </w:rPr>
        <w:t xml:space="preserve"> the expression of action. </w:t>
      </w:r>
    </w:p>
    <w:p w14:paraId="021574C1"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0C2CCEFB"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In view of the observations above, it is understandable that the material process type accounts for a higher proportion of the processes used in the methodology section of the research articles. If the material process types indicate physical experience, within the context of this study, it ought to be argued strongly that these physical experiences relate directly to the expression of authorial presence and voice within the articles. This is especially the case because all the material process clauses in the study have the </w:t>
      </w:r>
      <w:proofErr w:type="gramStart"/>
      <w:r w:rsidRPr="00ED4813">
        <w:rPr>
          <w:rFonts w:ascii="Times New Roman" w:hAnsi="Times New Roman" w:cs="Times New Roman"/>
          <w:sz w:val="24"/>
          <w:szCs w:val="24"/>
        </w:rPr>
        <w:t>first person</w:t>
      </w:r>
      <w:proofErr w:type="gramEnd"/>
      <w:r w:rsidRPr="00ED4813">
        <w:rPr>
          <w:rFonts w:ascii="Times New Roman" w:hAnsi="Times New Roman" w:cs="Times New Roman"/>
          <w:sz w:val="24"/>
          <w:szCs w:val="24"/>
        </w:rPr>
        <w:t xml:space="preserve"> pronoun as the Actor within the clause. In each of these processes, therefore, we find that it is the author whose physical experience(s) is being expressed within the clause. The following clauses (4-6) extracted from the data provide instances of the material clauses.</w:t>
      </w:r>
    </w:p>
    <w:p w14:paraId="2E0D35E0"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lastRenderedPageBreak/>
        <w:t xml:space="preserve">1.  SOURCES OF DATA In total </w:t>
      </w:r>
      <w:r w:rsidRPr="00ED4813">
        <w:rPr>
          <w:rFonts w:ascii="Times New Roman" w:hAnsi="Times New Roman" w:cs="Times New Roman"/>
          <w:sz w:val="24"/>
          <w:szCs w:val="24"/>
        </w:rPr>
        <w:tab/>
        <w:t xml:space="preserve">I[ACTOR] have worked [MATERIAL] with some 241 tokens of NPs </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BD88FCE"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2.</w:t>
      </w:r>
      <w:r w:rsidRPr="00ED4813">
        <w:rPr>
          <w:rFonts w:ascii="Times New Roman" w:hAnsi="Times New Roman" w:cs="Times New Roman"/>
          <w:sz w:val="24"/>
          <w:szCs w:val="24"/>
        </w:rPr>
        <w:tab/>
        <w:t xml:space="preserve"> E. </w:t>
      </w:r>
      <w:proofErr w:type="spellStart"/>
      <w:r w:rsidRPr="00ED4813">
        <w:rPr>
          <w:rFonts w:ascii="Times New Roman" w:hAnsi="Times New Roman" w:cs="Times New Roman"/>
          <w:sz w:val="24"/>
          <w:szCs w:val="24"/>
        </w:rPr>
        <w:t>Mwandambo</w:t>
      </w:r>
      <w:proofErr w:type="spellEnd"/>
      <w:r w:rsidRPr="00ED4813">
        <w:rPr>
          <w:rFonts w:ascii="Times New Roman" w:hAnsi="Times New Roman" w:cs="Times New Roman"/>
          <w:sz w:val="24"/>
          <w:szCs w:val="24"/>
        </w:rPr>
        <w:t xml:space="preserve"> (aged 36) and A. </w:t>
      </w:r>
      <w:proofErr w:type="spellStart"/>
      <w:r w:rsidRPr="00ED4813">
        <w:rPr>
          <w:rFonts w:ascii="Times New Roman" w:hAnsi="Times New Roman" w:cs="Times New Roman"/>
          <w:sz w:val="24"/>
          <w:szCs w:val="24"/>
        </w:rPr>
        <w:t>Isakwisa</w:t>
      </w:r>
      <w:proofErr w:type="spellEnd"/>
      <w:r w:rsidRPr="00ED4813">
        <w:rPr>
          <w:rFonts w:ascii="Times New Roman" w:hAnsi="Times New Roman" w:cs="Times New Roman"/>
          <w:sz w:val="24"/>
          <w:szCs w:val="24"/>
        </w:rPr>
        <w:t xml:space="preserve"> (aged 76). </w:t>
      </w:r>
      <w:r w:rsidRPr="00ED4813">
        <w:rPr>
          <w:rFonts w:ascii="Times New Roman" w:hAnsi="Times New Roman" w:cs="Times New Roman"/>
          <w:sz w:val="24"/>
          <w:szCs w:val="24"/>
        </w:rPr>
        <w:tab/>
        <w:t xml:space="preserve">I[ACTOR] used [MATERIAL] 30 tokens from </w:t>
      </w:r>
      <w:proofErr w:type="spellStart"/>
      <w:r w:rsidRPr="00ED4813">
        <w:rPr>
          <w:rFonts w:ascii="Times New Roman" w:hAnsi="Times New Roman" w:cs="Times New Roman"/>
          <w:sz w:val="24"/>
          <w:szCs w:val="24"/>
        </w:rPr>
        <w:t>Felberg</w:t>
      </w:r>
      <w:proofErr w:type="spellEnd"/>
      <w:r w:rsidRPr="00ED4813">
        <w:rPr>
          <w:rFonts w:ascii="Times New Roman" w:hAnsi="Times New Roman" w:cs="Times New Roman"/>
          <w:sz w:val="24"/>
          <w:szCs w:val="24"/>
        </w:rPr>
        <w:t xml:space="preserve"> (1996) and Biblia Um</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E11C0B1"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3.</w:t>
      </w:r>
      <w:proofErr w:type="gramStart"/>
      <w:r w:rsidRPr="00ED4813">
        <w:rPr>
          <w:rFonts w:ascii="Times New Roman" w:hAnsi="Times New Roman" w:cs="Times New Roman"/>
          <w:sz w:val="24"/>
          <w:szCs w:val="24"/>
        </w:rPr>
        <w:tab/>
        <w:t xml:space="preserve">  in</w:t>
      </w:r>
      <w:proofErr w:type="gramEnd"/>
      <w:r w:rsidRPr="00ED4813">
        <w:rPr>
          <w:rFonts w:ascii="Times New Roman" w:hAnsi="Times New Roman" w:cs="Times New Roman"/>
          <w:sz w:val="24"/>
          <w:szCs w:val="24"/>
        </w:rPr>
        <w:t xml:space="preserve"> Tanzania, between February and November 2008, </w:t>
      </w:r>
      <w:r w:rsidRPr="00ED4813">
        <w:rPr>
          <w:rFonts w:ascii="Times New Roman" w:hAnsi="Times New Roman" w:cs="Times New Roman"/>
          <w:sz w:val="24"/>
          <w:szCs w:val="24"/>
        </w:rPr>
        <w:tab/>
        <w:t xml:space="preserve">I[ACTOR] collected [MATERIAL 67 tokens from the </w:t>
      </w:r>
      <w:proofErr w:type="spellStart"/>
      <w:r w:rsidRPr="00ED4813">
        <w:rPr>
          <w:rFonts w:ascii="Times New Roman" w:hAnsi="Times New Roman" w:cs="Times New Roman"/>
          <w:sz w:val="24"/>
          <w:szCs w:val="24"/>
        </w:rPr>
        <w:t>Nyakyusa</w:t>
      </w:r>
      <w:proofErr w:type="spellEnd"/>
      <w:r w:rsidRPr="00ED4813">
        <w:rPr>
          <w:rFonts w:ascii="Times New Roman" w:hAnsi="Times New Roman" w:cs="Times New Roman"/>
          <w:sz w:val="24"/>
          <w:szCs w:val="24"/>
        </w:rPr>
        <w:t xml:space="preserve"> </w:t>
      </w:r>
      <w:proofErr w:type="spellStart"/>
      <w:r w:rsidRPr="00ED4813">
        <w:rPr>
          <w:rFonts w:ascii="Times New Roman" w:hAnsi="Times New Roman" w:cs="Times New Roman"/>
          <w:sz w:val="24"/>
          <w:szCs w:val="24"/>
        </w:rPr>
        <w:t>constructi</w:t>
      </w:r>
      <w:proofErr w:type="spellEnd"/>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r w:rsidRPr="00ED4813" w:rsidDel="002931F3">
        <w:rPr>
          <w:rFonts w:ascii="Times New Roman" w:hAnsi="Times New Roman" w:cs="Times New Roman"/>
          <w:sz w:val="24"/>
          <w:szCs w:val="24"/>
        </w:rPr>
        <w:t xml:space="preserve"> </w:t>
      </w:r>
    </w:p>
    <w:p w14:paraId="1A1A2935" w14:textId="77777777" w:rsidR="00AD1F78" w:rsidRPr="00ED4813" w:rsidRDefault="00AD1F78" w:rsidP="00AD1F78">
      <w:pPr>
        <w:pStyle w:val="NoSpacing"/>
        <w:ind w:left="851" w:right="571" w:hanging="851"/>
        <w:rPr>
          <w:rFonts w:ascii="Times New Roman" w:hAnsi="Times New Roman" w:cs="Times New Roman"/>
          <w:sz w:val="24"/>
          <w:szCs w:val="24"/>
        </w:rPr>
      </w:pPr>
    </w:p>
    <w:p w14:paraId="78ABA719"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Our parsing of the clauses (1-3) above does not </w:t>
      </w:r>
      <w:proofErr w:type="gramStart"/>
      <w:r w:rsidRPr="00ED4813">
        <w:rPr>
          <w:rFonts w:ascii="Times New Roman" w:hAnsi="Times New Roman" w:cs="Times New Roman"/>
          <w:sz w:val="24"/>
          <w:szCs w:val="24"/>
        </w:rPr>
        <w:t>take into account</w:t>
      </w:r>
      <w:proofErr w:type="gramEnd"/>
      <w:r w:rsidRPr="00ED4813">
        <w:rPr>
          <w:rFonts w:ascii="Times New Roman" w:hAnsi="Times New Roman" w:cs="Times New Roman"/>
          <w:sz w:val="24"/>
          <w:szCs w:val="24"/>
        </w:rPr>
        <w:t xml:space="preserve"> every aspect of the clause but is focused on the I-participant and the process itself. This limited focus is not arbitrary but is informed by the fact that the analysis is primarily interested in establishing how the </w:t>
      </w:r>
      <w:proofErr w:type="gramStart"/>
      <w:r w:rsidRPr="00ED4813">
        <w:rPr>
          <w:rFonts w:ascii="Times New Roman" w:hAnsi="Times New Roman" w:cs="Times New Roman"/>
          <w:sz w:val="24"/>
          <w:szCs w:val="24"/>
        </w:rPr>
        <w:t>first person</w:t>
      </w:r>
      <w:proofErr w:type="gramEnd"/>
      <w:r w:rsidRPr="00ED4813">
        <w:rPr>
          <w:rFonts w:ascii="Times New Roman" w:hAnsi="Times New Roman" w:cs="Times New Roman"/>
          <w:sz w:val="24"/>
          <w:szCs w:val="24"/>
        </w:rPr>
        <w:t xml:space="preserve"> participant and the process that defines the clause combine to enact an authorial presence and voice in the methodology section of the RAs. In each of the clauses above, we find that the combination of the first person and the material process enacts a strong presence for the author. This is because the Actor and the material process construct the author as a visible agent within the clause. It is through this agency that the author is infused into the text to the extent that the physical experience expressed within the clauses </w:t>
      </w:r>
      <w:proofErr w:type="gramStart"/>
      <w:r w:rsidRPr="00ED4813">
        <w:rPr>
          <w:rFonts w:ascii="Times New Roman" w:hAnsi="Times New Roman" w:cs="Times New Roman"/>
          <w:sz w:val="24"/>
          <w:szCs w:val="24"/>
        </w:rPr>
        <w:t>in particular and</w:t>
      </w:r>
      <w:proofErr w:type="gramEnd"/>
      <w:r w:rsidRPr="00ED4813">
        <w:rPr>
          <w:rFonts w:ascii="Times New Roman" w:hAnsi="Times New Roman" w:cs="Times New Roman"/>
          <w:sz w:val="24"/>
          <w:szCs w:val="24"/>
        </w:rPr>
        <w:t xml:space="preserve"> the entire text broadly is physical experience that originates from the author. The explicit authorial presence enacted through the material process clause type has implications for authorial identity. In this circumstance therefore, a greater presence and a stronger voice are created through the material process. This interpretation of the relationship between the first person and the material process is supported by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Tang and John's (1999)</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argument that their category of the </w:t>
      </w:r>
      <w:r w:rsidRPr="00ED4813">
        <w:rPr>
          <w:rFonts w:ascii="Times New Roman" w:hAnsi="Times New Roman" w:cs="Times New Roman"/>
          <w:i/>
          <w:iCs/>
          <w:sz w:val="24"/>
          <w:szCs w:val="24"/>
        </w:rPr>
        <w:t>I-as recounter of research process</w:t>
      </w:r>
      <w:r w:rsidRPr="00ED4813">
        <w:rPr>
          <w:rFonts w:ascii="Times New Roman" w:hAnsi="Times New Roman" w:cs="Times New Roman"/>
          <w:sz w:val="24"/>
          <w:szCs w:val="24"/>
        </w:rPr>
        <w:t xml:space="preserve"> within their continuum of authorial presence does indicate a high authorial presence.</w:t>
      </w:r>
    </w:p>
    <w:p w14:paraId="6C3669E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89E4FC"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Mental processes are processes of sensing (Halliday, 1994: Halliday and Matthiessen, 2014) and more vitally within the context of this study, they include perception and cognition. Within the framework of transitivity, two types of participants are associated with mental process clauses. These are the Senser and the Phenomenon. From the explanation of the mental process clause type, we can postulate that mental process clauses are the primary clause type for the expression of the intellectualized identity of the academic in academic writing. This theoretical position explains why the results for both sets of journals indicate that mental process clauses constitute the second highest category of clauses occurring with the first person in the data. They constitute 0.0018 and 0.00033 of all processes in clauses in which the first person is used in articles published in Western and African journals respectively. An intellectualized authorial presence is best expressed with clauses whose loci is cognition since cognition implies a disposition to use the mind in reasoning about any given phenomenon. Clause 4 from the data will help make this point clearer.</w:t>
      </w:r>
    </w:p>
    <w:p w14:paraId="0B22938F" w14:textId="77777777" w:rsidR="00AD1F78" w:rsidRPr="00ED4813" w:rsidRDefault="00AD1F78" w:rsidP="00AD1F78">
      <w:pPr>
        <w:pStyle w:val="NoSpacing"/>
        <w:ind w:left="851" w:right="571"/>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4. we [SENSER] knew [MENTAL] that all three were struggling with </w:t>
      </w:r>
      <w:r w:rsidRPr="00ED4813">
        <w:rPr>
          <w:rFonts w:ascii="Times New Roman" w:hAnsi="Times New Roman" w:cs="Times New Roman"/>
          <w:sz w:val="24"/>
          <w:szCs w:val="24"/>
          <w:lang w:val="en-US"/>
        </w:rPr>
        <w:tab/>
        <w:t>DA-W-S-15.txt</w:t>
      </w:r>
      <w:r w:rsidRPr="00ED4813">
        <w:rPr>
          <w:rFonts w:ascii="Times New Roman" w:hAnsi="Times New Roman" w:cs="Times New Roman"/>
          <w:sz w:val="24"/>
          <w:szCs w:val="24"/>
          <w:lang w:val="en-US"/>
        </w:rPr>
        <w:tab/>
        <w:t>10</w:t>
      </w:r>
      <w:r w:rsidRPr="00ED4813">
        <w:rPr>
          <w:rFonts w:ascii="Times New Roman" w:hAnsi="Times New Roman" w:cs="Times New Roman"/>
          <w:sz w:val="24"/>
          <w:szCs w:val="24"/>
          <w:lang w:val="en-US"/>
        </w:rPr>
        <w:tab/>
        <w:t>2</w:t>
      </w:r>
    </w:p>
    <w:p w14:paraId="488379BD" w14:textId="77777777" w:rsidR="00AD1F78" w:rsidRPr="00ED4813" w:rsidRDefault="00AD1F78" w:rsidP="00AD1F78">
      <w:pPr>
        <w:pStyle w:val="NoSpacing"/>
        <w:ind w:left="851" w:right="571" w:hanging="851"/>
        <w:rPr>
          <w:rFonts w:ascii="Times New Roman" w:hAnsi="Times New Roman" w:cs="Times New Roman"/>
          <w:sz w:val="24"/>
          <w:szCs w:val="24"/>
          <w:lang w:val="en-US"/>
        </w:rPr>
      </w:pPr>
      <w:r w:rsidRPr="00ED4813">
        <w:rPr>
          <w:rFonts w:ascii="Times New Roman" w:hAnsi="Times New Roman" w:cs="Times New Roman"/>
          <w:sz w:val="24"/>
          <w:szCs w:val="24"/>
          <w:lang w:val="en-US"/>
        </w:rPr>
        <w:tab/>
      </w:r>
    </w:p>
    <w:p w14:paraId="76E2289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clause 4, the mental process is expressed in the cognitive verb </w:t>
      </w:r>
      <w:r w:rsidRPr="00ED4813">
        <w:rPr>
          <w:rFonts w:ascii="Times New Roman" w:hAnsi="Times New Roman" w:cs="Times New Roman"/>
          <w:i/>
          <w:sz w:val="24"/>
          <w:szCs w:val="24"/>
          <w:lang w:val="en-US"/>
        </w:rPr>
        <w:t>knew</w:t>
      </w:r>
      <w:r w:rsidRPr="00ED4813">
        <w:rPr>
          <w:rFonts w:ascii="Times New Roman" w:hAnsi="Times New Roman" w:cs="Times New Roman"/>
          <w:sz w:val="24"/>
          <w:szCs w:val="24"/>
          <w:lang w:val="en-US"/>
        </w:rPr>
        <w:t xml:space="preserve"> with the Senser being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w:t>
      </w:r>
      <w:r w:rsidRPr="00ED4813">
        <w:rPr>
          <w:rFonts w:ascii="Times New Roman" w:hAnsi="Times New Roman" w:cs="Times New Roman"/>
          <w:i/>
          <w:sz w:val="24"/>
          <w:szCs w:val="24"/>
          <w:lang w:val="en-US"/>
        </w:rPr>
        <w:t>we.</w:t>
      </w:r>
      <w:r w:rsidRPr="00ED4813">
        <w:rPr>
          <w:rFonts w:ascii="Times New Roman" w:hAnsi="Times New Roman" w:cs="Times New Roman"/>
          <w:sz w:val="24"/>
          <w:szCs w:val="24"/>
          <w:lang w:val="en-US"/>
        </w:rPr>
        <w:t xml:space="preserve"> Within this clause we can see that the agency which is expressed in the Senser is one that is centred on the cognitive state of the participant. The participant’s presence in this clause is therefore marked by an experience defined by mental activity to the extent that we cannot disassociate the </w:t>
      </w:r>
      <w:r w:rsidRPr="00ED4813">
        <w:rPr>
          <w:rFonts w:ascii="Times New Roman" w:hAnsi="Times New Roman" w:cs="Times New Roman"/>
          <w:sz w:val="24"/>
          <w:szCs w:val="24"/>
          <w:lang w:val="en-US"/>
        </w:rPr>
        <w:lastRenderedPageBreak/>
        <w:t xml:space="preserve">participant from his representation as a cognitive agent. The authorial presence within this clause is therefore seen as a cognitive presence. This cognitive presence enacts for the author an identity that is defined </w:t>
      </w:r>
      <w:proofErr w:type="gramStart"/>
      <w:r w:rsidRPr="00ED4813">
        <w:rPr>
          <w:rFonts w:ascii="Times New Roman" w:hAnsi="Times New Roman" w:cs="Times New Roman"/>
          <w:sz w:val="24"/>
          <w:szCs w:val="24"/>
          <w:lang w:val="en-US"/>
        </w:rPr>
        <w:t>by the use of</w:t>
      </w:r>
      <w:proofErr w:type="gramEnd"/>
      <w:r w:rsidRPr="00ED4813">
        <w:rPr>
          <w:rFonts w:ascii="Times New Roman" w:hAnsi="Times New Roman" w:cs="Times New Roman"/>
          <w:sz w:val="24"/>
          <w:szCs w:val="24"/>
          <w:lang w:val="en-US"/>
        </w:rPr>
        <w:t xml:space="preserve"> the intellect, that is, the capacity to think and </w:t>
      </w:r>
      <w:proofErr w:type="spellStart"/>
      <w:r w:rsidRPr="00ED4813">
        <w:rPr>
          <w:rFonts w:ascii="Times New Roman" w:hAnsi="Times New Roman" w:cs="Times New Roman"/>
          <w:sz w:val="24"/>
          <w:szCs w:val="24"/>
          <w:lang w:val="en-US"/>
        </w:rPr>
        <w:t>rationalise</w:t>
      </w:r>
      <w:proofErr w:type="spellEnd"/>
      <w:r w:rsidRPr="00ED4813">
        <w:rPr>
          <w:rFonts w:ascii="Times New Roman" w:hAnsi="Times New Roman" w:cs="Times New Roman"/>
          <w:sz w:val="24"/>
          <w:szCs w:val="24"/>
          <w:lang w:val="en-US"/>
        </w:rPr>
        <w:t>. In this way, the author succeeds in creating a presence that is in tune with his/ her identity as an academic. A closely related observation to the argument that is being made about mental process clauses is that the mental process clause indicates that within the methodology section, the author is processing and analyzing the data at a cognitive level. This cognitive processing of the data is further evidence in support of the view that mental process clauses are means of conveying an authorial presence that is defined by mental activity and as such leads to the enactment of an intellectualized presence and voice.</w:t>
      </w:r>
    </w:p>
    <w:p w14:paraId="5D3D10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ABDA611"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Halliday (1994) formulates verbal processes as processes of saying. This process has four participants which are Sayer, Target, Receiver and Verbiage. It is the first process type that produces contrasting results in terms of articles published in African journals and those published in Western journals. Verbal process clauses constitute the third largest category with an average occurrence of 0.00006 in articles published in African journals. This process however is the fourth, with an average occurrence of 0.00094 in terms of articles published in Western journals. </w:t>
      </w:r>
      <w:proofErr w:type="gramStart"/>
      <w:r w:rsidRPr="00ED4813">
        <w:rPr>
          <w:rFonts w:ascii="Times New Roman" w:hAnsi="Times New Roman" w:cs="Times New Roman"/>
          <w:sz w:val="24"/>
          <w:szCs w:val="24"/>
          <w:lang w:val="en-US"/>
        </w:rPr>
        <w:t>In spite of</w:t>
      </w:r>
      <w:proofErr w:type="gramEnd"/>
      <w:r w:rsidRPr="00ED4813">
        <w:rPr>
          <w:rFonts w:ascii="Times New Roman" w:hAnsi="Times New Roman" w:cs="Times New Roman"/>
          <w:sz w:val="24"/>
          <w:szCs w:val="24"/>
          <w:lang w:val="en-US"/>
        </w:rPr>
        <w:t xml:space="preserve"> this contrast, a further examination of the way the verbal process is applied produces converging results regarding how authors who publish in African journals and those who publish in Western journals use this process. All verbal process clauses identified had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as the Sayer. Furthermore, the data reveals that all verbal processes identified were used in either co-authored methodology sections or multiple authored methodology sections. The conclusion that can be drawn from this observation is that where authorial presence is tied to a collective referent, there is no hesitation in being seen to be communicating directly. In other words, co-authors and multiple authors have no disinclination about being seen to be ‘saying’ and communicating directly within the methodology section. Given the evidence, the reverse will appear to be the case for single authors. The absence of verbal process clauses with grammatically singular Sayers from the data at least suggests strongly that there is disinclination on the part of individual authors to be seen to be saying or ‘speaking’ directly within texts.</w:t>
      </w:r>
    </w:p>
    <w:p w14:paraId="2898863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627E24" w14:textId="77777777" w:rsidR="00AD1F78" w:rsidRPr="00ED4813" w:rsidRDefault="00AD1F78" w:rsidP="00F830B2">
      <w:pPr>
        <w:spacing w:line="240" w:lineRule="auto"/>
        <w:ind w:firstLine="567"/>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second stark contrast to be drawn as regards the clause type distribution across the two sets of data is the relational process type. Relational processes are processes of being and focus on the relationship between entities </w:t>
      </w:r>
      <w:proofErr w:type="gramStart"/>
      <w:r w:rsidRPr="00ED4813">
        <w:rPr>
          <w:rFonts w:ascii="Times New Roman" w:hAnsi="Times New Roman" w:cs="Times New Roman"/>
          <w:sz w:val="24"/>
          <w:szCs w:val="24"/>
          <w:lang w:val="en-US"/>
        </w:rPr>
        <w:t>in a given</w:t>
      </w:r>
      <w:proofErr w:type="gramEnd"/>
      <w:r w:rsidRPr="00ED4813">
        <w:rPr>
          <w:rFonts w:ascii="Times New Roman" w:hAnsi="Times New Roman" w:cs="Times New Roman"/>
          <w:sz w:val="24"/>
          <w:szCs w:val="24"/>
          <w:lang w:val="en-US"/>
        </w:rPr>
        <w:t xml:space="preserve"> clause (Halliday 1994). There were no relational process clauses in articles published in the African journals. However, relational process clauses constitute the third largest category in the Western journals. A further point that ought to be made about the relational process clause is that it occurs only with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plural functioning as participant as can be seen from the example clauses 5-7.</w:t>
      </w:r>
    </w:p>
    <w:p w14:paraId="238E1CD2"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5. </w:t>
      </w:r>
      <w:r w:rsidRPr="00ED4813">
        <w:rPr>
          <w:rFonts w:ascii="Times New Roman" w:hAnsi="Times New Roman" w:cs="Times New Roman"/>
          <w:sz w:val="24"/>
          <w:szCs w:val="24"/>
          <w:lang w:val="en-US"/>
        </w:rPr>
        <w:tab/>
        <w:t xml:space="preserve">We [CARRIER] also have [RELATIONAL] badge data [ATTRIBUTE]: the precise times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7</w:t>
      </w:r>
    </w:p>
    <w:p w14:paraId="1DF473F1"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6. </w:t>
      </w:r>
      <w:r w:rsidRPr="00ED4813">
        <w:rPr>
          <w:rFonts w:ascii="Times New Roman" w:hAnsi="Times New Roman" w:cs="Times New Roman"/>
          <w:sz w:val="24"/>
          <w:szCs w:val="24"/>
          <w:lang w:val="en-US"/>
        </w:rPr>
        <w:tab/>
        <w:t xml:space="preserve">We [CARRIER] also have [RELATIONAL] daily worker performance </w:t>
      </w:r>
      <w:proofErr w:type="gramStart"/>
      <w:r w:rsidRPr="00ED4813">
        <w:rPr>
          <w:rFonts w:ascii="Times New Roman" w:hAnsi="Times New Roman" w:cs="Times New Roman"/>
          <w:sz w:val="24"/>
          <w:szCs w:val="24"/>
          <w:lang w:val="en-US"/>
        </w:rPr>
        <w:t>data[</w:t>
      </w:r>
      <w:proofErr w:type="gramEnd"/>
      <w:r w:rsidRPr="00ED4813">
        <w:rPr>
          <w:rFonts w:ascii="Times New Roman" w:hAnsi="Times New Roman" w:cs="Times New Roman"/>
          <w:sz w:val="24"/>
          <w:szCs w:val="24"/>
          <w:lang w:val="en-US"/>
        </w:rPr>
        <w:t xml:space="preserve">ATTRIBUTE, most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9</w:t>
      </w:r>
    </w:p>
    <w:p w14:paraId="46109B40"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7. </w:t>
      </w:r>
      <w:r w:rsidRPr="00ED4813">
        <w:rPr>
          <w:rFonts w:ascii="Times New Roman" w:hAnsi="Times New Roman" w:cs="Times New Roman"/>
          <w:sz w:val="24"/>
          <w:szCs w:val="24"/>
          <w:lang w:val="en-US"/>
        </w:rPr>
        <w:tab/>
        <w:t xml:space="preserve">we [CARRIER] have [RELATIONAL] data on 51 promotions from the 34 </w:t>
      </w:r>
      <w:proofErr w:type="gramStart"/>
      <w:r w:rsidRPr="00ED4813">
        <w:rPr>
          <w:rFonts w:ascii="Times New Roman" w:hAnsi="Times New Roman" w:cs="Times New Roman"/>
          <w:sz w:val="24"/>
          <w:szCs w:val="24"/>
          <w:lang w:val="en-US"/>
        </w:rPr>
        <w:t>stores[</w:t>
      </w:r>
      <w:proofErr w:type="gramEnd"/>
      <w:r w:rsidRPr="00ED4813">
        <w:rPr>
          <w:rFonts w:ascii="Times New Roman" w:hAnsi="Times New Roman" w:cs="Times New Roman"/>
          <w:sz w:val="24"/>
          <w:szCs w:val="24"/>
          <w:lang w:val="en-US"/>
        </w:rPr>
        <w:t xml:space="preserve">ATTRIBUTE]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14</w:t>
      </w:r>
    </w:p>
    <w:p w14:paraId="0620B0A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F25DEA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What needs to be accounted for here is the implication of the relational clause for authorial voice and presence in the RAs. in clause 5 above, the clause is made of a carrier, the relational </w:t>
      </w:r>
      <w:proofErr w:type="gramStart"/>
      <w:r w:rsidRPr="00ED4813">
        <w:rPr>
          <w:rFonts w:ascii="Times New Roman" w:hAnsi="Times New Roman" w:cs="Times New Roman"/>
          <w:sz w:val="24"/>
          <w:szCs w:val="24"/>
          <w:lang w:val="en-US"/>
        </w:rPr>
        <w:t>process</w:t>
      </w:r>
      <w:proofErr w:type="gramEnd"/>
      <w:r w:rsidRPr="00ED4813">
        <w:rPr>
          <w:rFonts w:ascii="Times New Roman" w:hAnsi="Times New Roman" w:cs="Times New Roman"/>
          <w:sz w:val="24"/>
          <w:szCs w:val="24"/>
          <w:lang w:val="en-US"/>
        </w:rPr>
        <w:t xml:space="preserve"> and the attribute of the carrier. In each of the clauses above, we see that the attribute extends the scope of the carrier by making an anaphoric reference to it. In clause 5, “badge data” indicates something that is possessed by the carrier, “We”. The same grammatical relationship obtains between the carriers and their attributes in clauses 6 and 7. This internal structure of the relational clause ought to be seen as leading to the appropriation of authorial voice and presence because it allows the resources of the clause to be combined to elaborate the author(s) who is/are represented in the first person. The absence of the relational clause in the RAs published in African journals therefore goes to support the argument that the authors are less likely to assume a strong authorial voice and presence.</w:t>
      </w:r>
    </w:p>
    <w:p w14:paraId="5ADC2474"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4A6F6A47" w14:textId="7F2FC482" w:rsidR="00AD1F78" w:rsidRPr="00F830B2" w:rsidRDefault="00F830B2" w:rsidP="00F830B2">
      <w:pPr>
        <w:pStyle w:val="ListParagraph"/>
        <w:numPr>
          <w:ilvl w:val="0"/>
          <w:numId w:val="3"/>
        </w:numPr>
        <w:spacing w:line="240" w:lineRule="auto"/>
        <w:jc w:val="both"/>
        <w:rPr>
          <w:rFonts w:ascii="Times New Roman" w:hAnsi="Times New Roman" w:cs="Times New Roman"/>
          <w:b/>
          <w:sz w:val="24"/>
          <w:szCs w:val="24"/>
          <w:lang w:val="en-US"/>
        </w:rPr>
      </w:pPr>
      <w:r w:rsidRPr="00F830B2">
        <w:rPr>
          <w:rFonts w:ascii="Times New Roman" w:hAnsi="Times New Roman" w:cs="Times New Roman"/>
          <w:b/>
          <w:sz w:val="24"/>
          <w:szCs w:val="24"/>
          <w:lang w:val="en-US"/>
        </w:rPr>
        <w:t>CONCLUSION</w:t>
      </w:r>
    </w:p>
    <w:p w14:paraId="2F4D1477"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Premised on Hyland’s view of the social interactive nature of academic writing and drawing from the Hallidayan transitivity framework, this study set out to investigate the construction of authorial presence or voice in the methodology sections of research articles published in selected African and Western journals. The specific objectives were to determine how the authors exploited the pronominal forms </w:t>
      </w:r>
      <w:r w:rsidRPr="00ED4813">
        <w:rPr>
          <w:rFonts w:ascii="Times New Roman" w:hAnsi="Times New Roman" w:cs="Times New Roman"/>
          <w:i/>
          <w:sz w:val="24"/>
          <w:szCs w:val="24"/>
          <w:lang w:val="en-US"/>
        </w:rPr>
        <w:t>I/We</w:t>
      </w:r>
      <w:r w:rsidRPr="00ED4813">
        <w:rPr>
          <w:rFonts w:ascii="Times New Roman" w:hAnsi="Times New Roman" w:cs="Times New Roman"/>
          <w:sz w:val="24"/>
          <w:szCs w:val="24"/>
          <w:lang w:val="en-US"/>
        </w:rPr>
        <w:t xml:space="preserve"> and choices within English clausal configurations to signal authorial presence and thereby construct an identity for themselves, and to find out the inter-relationships between the African and Western journals in this respect.  </w:t>
      </w:r>
    </w:p>
    <w:p w14:paraId="3B16D79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58DAAC"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One of the key findings was that first person pronouns (singular and plural forms) do not feature prominently in the methodology sections of both the African and Western journals even though that is the segment where the author, as researcher, provides information on the research acts or procedures. Arguably therefore and with first person pronoun usage as the criterion, there is a general attempt at suppressing authorial presence </w:t>
      </w:r>
      <w:proofErr w:type="gramStart"/>
      <w:r w:rsidRPr="00ED4813">
        <w:rPr>
          <w:rFonts w:ascii="Times New Roman" w:hAnsi="Times New Roman" w:cs="Times New Roman"/>
          <w:sz w:val="24"/>
          <w:szCs w:val="24"/>
          <w:lang w:val="en-US"/>
        </w:rPr>
        <w:t>in order to</w:t>
      </w:r>
      <w:proofErr w:type="gramEnd"/>
      <w:r w:rsidRPr="00ED4813">
        <w:rPr>
          <w:rFonts w:ascii="Times New Roman" w:hAnsi="Times New Roman" w:cs="Times New Roman"/>
          <w:sz w:val="24"/>
          <w:szCs w:val="24"/>
          <w:lang w:val="en-US"/>
        </w:rPr>
        <w:t xml:space="preserve"> perhaps underscore the integrity of the research process and diminish the fallibility of human agency. This notwithstanding, the study also investigated the relationship between nature of authorship (characterized as single-, co-, or multiple- authorship) and extent of pronoun usage. </w:t>
      </w:r>
    </w:p>
    <w:p w14:paraId="49C9E22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0F510AF"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study also analyzed the process types that dominated the methodology sections in relation to the choice of pronouns in participant-actor positions using the Hallidayan transitivity framework </w:t>
      </w:r>
      <w:proofErr w:type="gramStart"/>
      <w:r w:rsidRPr="00ED4813">
        <w:rPr>
          <w:rFonts w:ascii="Times New Roman" w:hAnsi="Times New Roman" w:cs="Times New Roman"/>
          <w:sz w:val="24"/>
          <w:szCs w:val="24"/>
          <w:lang w:val="en-US"/>
        </w:rPr>
        <w:t>in order to</w:t>
      </w:r>
      <w:proofErr w:type="gramEnd"/>
      <w:r w:rsidRPr="00ED4813">
        <w:rPr>
          <w:rFonts w:ascii="Times New Roman" w:hAnsi="Times New Roman" w:cs="Times New Roman"/>
          <w:sz w:val="24"/>
          <w:szCs w:val="24"/>
          <w:lang w:val="en-US"/>
        </w:rPr>
        <w:t xml:space="preserve"> determine how they relate to the expression or otherwise of authorial presence and voice. One of the key findings was that for both African and Western journals, material process verbs were the most preferred in the methodology sections. This is not surprising given that the methodology sections are by their very nature communicating research acts or procedures which are mostly action oriented or experiential in nature requiring the presence of an actor. In other words, the nature of the communicative situation in this sub-genre requires the researcher to report “real-world activities” (Hyland, 2004: 27), which would consequentially invoke the use of material process verbs with the researcher as -Actor.  Also, worth mentioning here is the category of mental process verbs. It constituted the second highest category of clauses used with the </w:t>
      </w:r>
      <w:proofErr w:type="gramStart"/>
      <w:r w:rsidRPr="00ED4813">
        <w:rPr>
          <w:rFonts w:ascii="Times New Roman" w:hAnsi="Times New Roman" w:cs="Times New Roman"/>
          <w:sz w:val="24"/>
          <w:szCs w:val="24"/>
          <w:lang w:val="en-US"/>
        </w:rPr>
        <w:t>first person</w:t>
      </w:r>
      <w:proofErr w:type="gramEnd"/>
      <w:r w:rsidRPr="00ED4813">
        <w:rPr>
          <w:rFonts w:ascii="Times New Roman" w:hAnsi="Times New Roman" w:cs="Times New Roman"/>
          <w:sz w:val="24"/>
          <w:szCs w:val="24"/>
          <w:lang w:val="en-US"/>
        </w:rPr>
        <w:t xml:space="preserve"> pronoun in the data, suggesting that in reporting the research activity or procedure, the authors also </w:t>
      </w:r>
      <w:r w:rsidRPr="00ED4813">
        <w:rPr>
          <w:rFonts w:ascii="Times New Roman" w:hAnsi="Times New Roman" w:cs="Times New Roman"/>
          <w:sz w:val="24"/>
          <w:szCs w:val="24"/>
          <w:lang w:val="en-US"/>
        </w:rPr>
        <w:lastRenderedPageBreak/>
        <w:t xml:space="preserve">construct themselves as participants in a cognitive process in which they exercise intellectual perceptiveness as they recount the mundane acts of “doing”. </w:t>
      </w:r>
    </w:p>
    <w:p w14:paraId="348DFD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C991F59" w14:textId="59EC42F3" w:rsidR="00AD1F78" w:rsidRPr="00ED4813" w:rsidRDefault="00AD1F78" w:rsidP="002D74D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This study has revealed subtle convergences rather than deep differences between African and Western journals in the construction of authorial voice in the methodology sections of research articles. This most likely points to the moderating functions of editors and reviewers as reflected in Hyland’s (2004: 139) assertion that “published texts … have completed professional and institutional rites of passage and gained legitimacy in the eyes of community gatekeepers”. Such moderating functions privilege certain stylistic preferences or proclivities in the competitive world of research article publication. The subtle convergences between the African and Western journals have pedagogical implications. First, instruction in academic writing in ESL contexts </w:t>
      </w:r>
      <w:proofErr w:type="gramStart"/>
      <w:r w:rsidRPr="00ED4813">
        <w:rPr>
          <w:rFonts w:ascii="Times New Roman" w:hAnsi="Times New Roman" w:cs="Times New Roman"/>
          <w:sz w:val="24"/>
          <w:szCs w:val="24"/>
          <w:lang w:val="en-US"/>
        </w:rPr>
        <w:t>has to</w:t>
      </w:r>
      <w:proofErr w:type="gramEnd"/>
      <w:r w:rsidRPr="00ED4813">
        <w:rPr>
          <w:rFonts w:ascii="Times New Roman" w:hAnsi="Times New Roman" w:cs="Times New Roman"/>
          <w:sz w:val="24"/>
          <w:szCs w:val="24"/>
          <w:lang w:val="en-US"/>
        </w:rPr>
        <w:t xml:space="preserve"> proceed from the position that writing in both first language and second language contexts bear a lot of similarities. This therefore means moving away from the deficit model which has largely been the framework for teaching academic writing in second language contexts. Secondly, in looking at the subtle convergences, ESL writers will have to be encouraged to become more comfortable with the idea that expressing authorial presence and voice in academic texts is a virtue and not necessarily a vice.</w:t>
      </w:r>
    </w:p>
    <w:p w14:paraId="295467EF" w14:textId="77777777" w:rsidR="00AD1F78" w:rsidRPr="00ED4813" w:rsidRDefault="00AD1F78" w:rsidP="00AD1F78">
      <w:pPr>
        <w:pStyle w:val="NoSpacing"/>
        <w:rPr>
          <w:rFonts w:ascii="Times New Roman" w:hAnsi="Times New Roman" w:cs="Times New Roman"/>
          <w:sz w:val="24"/>
          <w:szCs w:val="24"/>
        </w:rPr>
      </w:pPr>
    </w:p>
    <w:p w14:paraId="2624040F" w14:textId="77777777" w:rsidR="00AD1F78" w:rsidRPr="00ED4813" w:rsidRDefault="00AD1F78" w:rsidP="0037472D">
      <w:pPr>
        <w:pStyle w:val="NoSpacing"/>
        <w:jc w:val="both"/>
        <w:rPr>
          <w:rFonts w:ascii="Times New Roman" w:hAnsi="Times New Roman" w:cs="Times New Roman"/>
          <w:b/>
          <w:sz w:val="24"/>
          <w:lang w:val="en-US"/>
        </w:rPr>
      </w:pPr>
      <w:r w:rsidRPr="00ED4813">
        <w:rPr>
          <w:rFonts w:ascii="Times New Roman" w:hAnsi="Times New Roman" w:cs="Times New Roman"/>
          <w:b/>
          <w:sz w:val="24"/>
          <w:lang w:val="en-US"/>
        </w:rPr>
        <w:t>REFERENCES</w:t>
      </w:r>
    </w:p>
    <w:p w14:paraId="4EBC6AD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 xml:space="preserve">ADDIN Mendeley Bibliography CSL_BIBLIOGRAPHY </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rPr>
        <w:t xml:space="preserve">Adika, G. S. K., &amp; Denkabe, A. (1997). A grammar of text analysis: an approach. In M.E.K. Dakubu (Ed.), </w:t>
      </w:r>
      <w:r w:rsidRPr="00ED4813">
        <w:rPr>
          <w:rFonts w:ascii="Times New Roman" w:hAnsi="Times New Roman" w:cs="Times New Roman"/>
          <w:i/>
          <w:iCs/>
          <w:noProof/>
          <w:sz w:val="24"/>
          <w:szCs w:val="24"/>
        </w:rPr>
        <w:t>English in Ghana</w:t>
      </w:r>
      <w:r w:rsidRPr="00ED4813">
        <w:rPr>
          <w:rFonts w:ascii="Times New Roman" w:hAnsi="Times New Roman" w:cs="Times New Roman"/>
          <w:noProof/>
          <w:sz w:val="24"/>
          <w:szCs w:val="24"/>
        </w:rPr>
        <w:t xml:space="preserve"> (pp. 211–223). Accra: English Language Studies Association.</w:t>
      </w:r>
    </w:p>
    <w:p w14:paraId="2D5ADD0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Anthony, L. (2019). AntConc (Version 3.5.8) [Computer Software]. Tokyo, Japan: Waseda University. Available from https://www.laurenceanthony.net/software</w:t>
      </w:r>
    </w:p>
    <w:p w14:paraId="11DED84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Aull, L. L., &amp; Lancaster, Z. (2014). Linguistic Markers of Stance in Early and Advanced Academic Writing : A Corpus-based Comparison. </w:t>
      </w:r>
      <w:r w:rsidRPr="00ED4813">
        <w:rPr>
          <w:rFonts w:ascii="Times New Roman" w:hAnsi="Times New Roman" w:cs="Times New Roman"/>
          <w:i/>
          <w:iCs/>
          <w:noProof/>
          <w:sz w:val="24"/>
          <w:szCs w:val="24"/>
        </w:rPr>
        <w:t>Written Communication</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(2), 151–183. https://doi.org/10.1177/0741088314527055</w:t>
      </w:r>
    </w:p>
    <w:p w14:paraId="2D1BB0C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Aziz, A., &amp; Hashima, N. (2017). Authorial Identity and Linguistic Features of Native English and Thai Writers in Research Articles. </w:t>
      </w:r>
      <w:r w:rsidRPr="00ED4813">
        <w:rPr>
          <w:rFonts w:ascii="Times New Roman" w:hAnsi="Times New Roman" w:cs="Times New Roman"/>
          <w:i/>
          <w:noProof/>
          <w:sz w:val="24"/>
          <w:szCs w:val="24"/>
        </w:rPr>
        <w:t>Social Sciences &amp; Humanities, 25,</w:t>
      </w:r>
      <w:r w:rsidRPr="00ED4813">
        <w:rPr>
          <w:rFonts w:ascii="Times New Roman" w:hAnsi="Times New Roman" w:cs="Times New Roman"/>
          <w:noProof/>
          <w:sz w:val="24"/>
          <w:szCs w:val="24"/>
        </w:rPr>
        <w:t xml:space="preserve"> 1319–1334.</w:t>
      </w:r>
    </w:p>
    <w:p w14:paraId="1A59706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Bloor, T., &amp; Bloor, M. (2004). </w:t>
      </w:r>
      <w:r w:rsidRPr="00ED4813">
        <w:rPr>
          <w:rFonts w:ascii="Times New Roman" w:hAnsi="Times New Roman" w:cs="Times New Roman"/>
          <w:i/>
          <w:iCs/>
          <w:noProof/>
          <w:sz w:val="24"/>
          <w:szCs w:val="24"/>
        </w:rPr>
        <w:t>The functional analysis of English: A Hallidayan approach</w:t>
      </w:r>
      <w:r w:rsidRPr="00ED4813">
        <w:rPr>
          <w:rFonts w:ascii="Times New Roman" w:hAnsi="Times New Roman" w:cs="Times New Roman"/>
          <w:noProof/>
          <w:sz w:val="24"/>
          <w:szCs w:val="24"/>
        </w:rPr>
        <w:t>. New York: Routledge.</w:t>
      </w:r>
    </w:p>
    <w:p w14:paraId="7438E18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Canagarajah, A. S. (2014). “Blessed in my own way:” Pedagogical affordances for dialogical voice construction in multilingual student writing.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27</w:t>
      </w:r>
      <w:r w:rsidRPr="00ED4813">
        <w:rPr>
          <w:rFonts w:ascii="Times New Roman" w:hAnsi="Times New Roman" w:cs="Times New Roman"/>
          <w:noProof/>
          <w:sz w:val="24"/>
          <w:szCs w:val="24"/>
        </w:rPr>
        <w:t>, 122–139. https://doi.org/10.1016/j.jslw.2014.09.001</w:t>
      </w:r>
    </w:p>
    <w:p w14:paraId="4531AD6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Çandarli, D., Bayyurt, Y., &amp; Marti, L. (2015). Authorial presence in L1 and L2 novice academic writing: Cross-linguistic and cross-cultural perspectives.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192–202. https://doi.org/10.1016/j.jeap.2015.10.001</w:t>
      </w:r>
    </w:p>
    <w:p w14:paraId="1DD6E1E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Flowerdew, J., &amp; Wang, S. H. (2015). Identity in academic discourse. </w:t>
      </w:r>
      <w:r w:rsidRPr="00ED4813">
        <w:rPr>
          <w:rFonts w:ascii="Times New Roman" w:hAnsi="Times New Roman" w:cs="Times New Roman"/>
          <w:i/>
          <w:iCs/>
          <w:noProof/>
          <w:sz w:val="24"/>
          <w:szCs w:val="24"/>
        </w:rPr>
        <w:t>Annual Review of Applied Linguistics</w:t>
      </w:r>
      <w:r w:rsidRPr="00ED4813">
        <w:rPr>
          <w:rFonts w:ascii="Times New Roman" w:hAnsi="Times New Roman" w:cs="Times New Roman"/>
          <w:noProof/>
          <w:sz w:val="24"/>
          <w:szCs w:val="24"/>
        </w:rPr>
        <w:t>. https://doi.org/10.1017/S026719051400021X</w:t>
      </w:r>
    </w:p>
    <w:p w14:paraId="57A604D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lastRenderedPageBreak/>
        <w:t>Halliday, M.A.K. (1994). An introduction to functional grammar. London: Edward Arnold Publishers.</w:t>
      </w:r>
    </w:p>
    <w:p w14:paraId="17144103"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(1967). Notes on transitivity and theme in English. </w:t>
      </w:r>
      <w:r w:rsidRPr="00ED4813">
        <w:rPr>
          <w:rFonts w:ascii="Times New Roman" w:hAnsi="Times New Roman" w:cs="Times New Roman"/>
          <w:i/>
          <w:iCs/>
          <w:noProof/>
          <w:sz w:val="24"/>
          <w:szCs w:val="24"/>
        </w:rPr>
        <w:t>Journal of Linguistics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w:t>
      </w:r>
      <w:r w:rsidRPr="00ED4813">
        <w:rPr>
          <w:rFonts w:ascii="Times New Roman" w:hAnsi="Times New Roman" w:cs="Times New Roman"/>
          <w:noProof/>
          <w:sz w:val="24"/>
          <w:szCs w:val="24"/>
        </w:rPr>
        <w:t>(2), 177–274.</w:t>
      </w:r>
    </w:p>
    <w:p w14:paraId="7F0EDD9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&amp; Matthiessen, C. M. I. M. (2004). An introduction to functional gramar. </w:t>
      </w:r>
      <w:r w:rsidRPr="00ED4813">
        <w:rPr>
          <w:rFonts w:ascii="Times New Roman" w:hAnsi="Times New Roman" w:cs="Times New Roman"/>
          <w:iCs/>
          <w:noProof/>
          <w:sz w:val="24"/>
          <w:szCs w:val="24"/>
        </w:rPr>
        <w:t>London: Edward Arnold</w:t>
      </w:r>
      <w:r w:rsidRPr="00ED4813">
        <w:rPr>
          <w:rFonts w:ascii="Times New Roman" w:hAnsi="Times New Roman" w:cs="Times New Roman"/>
          <w:noProof/>
          <w:sz w:val="24"/>
          <w:szCs w:val="24"/>
        </w:rPr>
        <w:t>.</w:t>
      </w:r>
    </w:p>
    <w:p w14:paraId="7856D67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Helms-Park, R., &amp; Stapleton, P. (2003). Questioning the importance of individualized voice in undergraduate L2 argumentative writing: An empirical study with pedagogical implications.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12</w:t>
      </w:r>
      <w:r w:rsidRPr="00ED4813">
        <w:rPr>
          <w:rFonts w:ascii="Times New Roman" w:hAnsi="Times New Roman" w:cs="Times New Roman"/>
          <w:noProof/>
          <w:sz w:val="24"/>
          <w:szCs w:val="24"/>
        </w:rPr>
        <w:t>(3), 245–265. https://doi.org/10.1016/j.jslw.2003.08.001</w:t>
      </w:r>
    </w:p>
    <w:p w14:paraId="366EAED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(2001). Humble servants of the discipline? Self-mention in research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(3), 207–226. https://doi.org/10.1016/S0889-4906(00)00012-0</w:t>
      </w:r>
    </w:p>
    <w:p w14:paraId="4F36EBB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(2002a). Authority and invisibility: authorial dentity in academic writing. </w:t>
      </w:r>
      <w:r w:rsidRPr="00ED4813">
        <w:rPr>
          <w:rFonts w:ascii="Times New Roman" w:hAnsi="Times New Roman" w:cs="Times New Roman"/>
          <w:i/>
          <w:iCs/>
          <w:noProof/>
          <w:sz w:val="24"/>
          <w:szCs w:val="24"/>
        </w:rPr>
        <w:t>Journal of Pragmatics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34</w:t>
      </w:r>
      <w:r w:rsidRPr="00ED4813">
        <w:rPr>
          <w:rFonts w:ascii="Times New Roman" w:hAnsi="Times New Roman" w:cs="Times New Roman"/>
          <w:noProof/>
          <w:sz w:val="24"/>
          <w:szCs w:val="24"/>
        </w:rPr>
        <w:t>, 1091–1112.</w:t>
      </w:r>
    </w:p>
    <w:p w14:paraId="08FE85E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(2002b). Options of identity in academic writing. </w:t>
      </w:r>
      <w:r w:rsidRPr="00ED4813">
        <w:rPr>
          <w:rFonts w:ascii="Times New Roman" w:hAnsi="Times New Roman" w:cs="Times New Roman"/>
          <w:i/>
          <w:iCs/>
          <w:noProof/>
          <w:sz w:val="24"/>
          <w:szCs w:val="24"/>
        </w:rPr>
        <w:t>ELT Journal</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56</w:t>
      </w:r>
      <w:r w:rsidRPr="00ED4813">
        <w:rPr>
          <w:rFonts w:ascii="Times New Roman" w:hAnsi="Times New Roman" w:cs="Times New Roman"/>
          <w:noProof/>
          <w:sz w:val="24"/>
          <w:szCs w:val="24"/>
        </w:rPr>
        <w:t>(4), 351–358.</w:t>
      </w:r>
    </w:p>
    <w:p w14:paraId="2762E8E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2015. Genre, discipline and identity.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19</w:t>
      </w:r>
      <w:r w:rsidRPr="00ED4813">
        <w:rPr>
          <w:rFonts w:ascii="Times New Roman" w:hAnsi="Times New Roman" w:cs="Times New Roman"/>
          <w:noProof/>
          <w:sz w:val="24"/>
          <w:szCs w:val="24"/>
        </w:rPr>
        <w:t>, 32–43. https://doi.org/10.1016/j.jeap.2015.02.005</w:t>
      </w:r>
    </w:p>
    <w:p w14:paraId="188C8E9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&amp; Tse, P. (2012). “She has received many honours”: Identity construction in article bio statements.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11</w:t>
      </w:r>
      <w:r w:rsidRPr="00ED4813">
        <w:rPr>
          <w:rFonts w:ascii="Times New Roman" w:hAnsi="Times New Roman" w:cs="Times New Roman"/>
          <w:noProof/>
          <w:sz w:val="24"/>
          <w:szCs w:val="24"/>
        </w:rPr>
        <w:t>(2), 155–165. https://doi.org/10.1016/j.jeap.2012.01.001</w:t>
      </w:r>
    </w:p>
    <w:p w14:paraId="634675E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Ivanič, R. (1998). </w:t>
      </w:r>
      <w:r w:rsidRPr="00ED4813">
        <w:rPr>
          <w:rFonts w:ascii="Times New Roman" w:hAnsi="Times New Roman" w:cs="Times New Roman"/>
          <w:i/>
          <w:iCs/>
          <w:noProof/>
          <w:sz w:val="24"/>
          <w:szCs w:val="24"/>
        </w:rPr>
        <w:t>Writing and identity. The discoursal construction of identity in academic writing</w:t>
      </w:r>
      <w:r w:rsidRPr="00ED4813">
        <w:rPr>
          <w:rFonts w:ascii="Times New Roman" w:hAnsi="Times New Roman" w:cs="Times New Roman"/>
          <w:noProof/>
          <w:sz w:val="24"/>
          <w:szCs w:val="24"/>
        </w:rPr>
        <w:t>. Amsterdam: John Benjamins. https://doi.org/10.1016/S1475-1585(02)00007-3</w:t>
      </w:r>
    </w:p>
    <w:p w14:paraId="212599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Jiang, F. (2015). Nominal stance construction in L1 and L2 students’ writing.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90–102. https://doi.org/10.1016/j.jeap.2015.07.002</w:t>
      </w:r>
    </w:p>
    <w:p w14:paraId="3A7F80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Kuo, C.-H. (1999). The Use of Personal Pronouns: Role Relationships in Scientific Journal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(2), 121–138. https://doi.org/10.1016/S0889-4906(97)00058-6</w:t>
      </w:r>
    </w:p>
    <w:p w14:paraId="48725C29"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Lee, J. J., &amp; Deakin, L. (2016). Interactions in L1 and L2 undergraduate student writing: Interactional metadiscourse in successful and less-successful argumentative essays.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33</w:t>
      </w:r>
      <w:r w:rsidRPr="00ED4813">
        <w:rPr>
          <w:rFonts w:ascii="Times New Roman" w:hAnsi="Times New Roman" w:cs="Times New Roman"/>
          <w:noProof/>
          <w:sz w:val="24"/>
          <w:szCs w:val="24"/>
        </w:rPr>
        <w:t>, 21–34. https://doi.org/10.1016/J.JSLW.2016.06.004</w:t>
      </w:r>
    </w:p>
    <w:p w14:paraId="664675A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Mehmood, A., Amber, R., Ameer, S., &amp; Faiz, R. (2014). Transitivity Analysis: Representation of Love in Wilde’S </w:t>
      </w:r>
      <w:r w:rsidRPr="00ED4813">
        <w:rPr>
          <w:rFonts w:ascii="Times New Roman" w:hAnsi="Times New Roman" w:cs="Times New Roman"/>
          <w:i/>
          <w:noProof/>
          <w:sz w:val="24"/>
          <w:szCs w:val="24"/>
        </w:rPr>
        <w:t>the Nightingale</w:t>
      </w:r>
      <w:r w:rsidRPr="00ED4813">
        <w:rPr>
          <w:rFonts w:ascii="Times New Roman" w:hAnsi="Times New Roman" w:cs="Times New Roman"/>
          <w:noProof/>
          <w:sz w:val="24"/>
          <w:szCs w:val="24"/>
        </w:rPr>
        <w:t xml:space="preserve"> and </w:t>
      </w:r>
      <w:r w:rsidRPr="00ED4813">
        <w:rPr>
          <w:rFonts w:ascii="Times New Roman" w:hAnsi="Times New Roman" w:cs="Times New Roman"/>
          <w:i/>
          <w:noProof/>
          <w:sz w:val="24"/>
          <w:szCs w:val="24"/>
        </w:rPr>
        <w:t>the Rose</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European Journal of Research in Social Sciences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w:t>
      </w:r>
      <w:r w:rsidRPr="00ED4813">
        <w:rPr>
          <w:rFonts w:ascii="Times New Roman" w:hAnsi="Times New Roman" w:cs="Times New Roman"/>
          <w:noProof/>
          <w:sz w:val="24"/>
          <w:szCs w:val="24"/>
        </w:rPr>
        <w:t>(4), 78–85. Retrieved from www.idpublications.org</w:t>
      </w:r>
    </w:p>
    <w:p w14:paraId="381D2D17"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lastRenderedPageBreak/>
        <w:t xml:space="preserve">Mwinlaaru, I. N.-I. (2014). Style, character, and the theme of struggle and change: Chinua Achebe’s </w:t>
      </w:r>
      <w:r w:rsidRPr="00ED4813">
        <w:rPr>
          <w:rFonts w:ascii="Times New Roman" w:hAnsi="Times New Roman" w:cs="Times New Roman"/>
          <w:i/>
          <w:iCs/>
          <w:noProof/>
          <w:sz w:val="24"/>
          <w:szCs w:val="24"/>
        </w:rPr>
        <w:t>Anthills of the Savannah</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Research in African Literatures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45</w:t>
      </w:r>
      <w:r w:rsidRPr="00ED4813">
        <w:rPr>
          <w:rFonts w:ascii="Times New Roman" w:hAnsi="Times New Roman" w:cs="Times New Roman"/>
          <w:noProof/>
          <w:sz w:val="24"/>
          <w:szCs w:val="24"/>
        </w:rPr>
        <w:t>(2), 103–121. https://doi.org/10.2979/reseafrilite.45.2.103</w:t>
      </w:r>
    </w:p>
    <w:p w14:paraId="52578A8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Ramanathan, V., &amp; Atkinson, D. (1999). Individualism, academic writing, and ESL writers.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8</w:t>
      </w:r>
      <w:r w:rsidRPr="00ED4813">
        <w:rPr>
          <w:rFonts w:ascii="Times New Roman" w:hAnsi="Times New Roman" w:cs="Times New Roman"/>
          <w:noProof/>
          <w:sz w:val="24"/>
          <w:szCs w:val="24"/>
        </w:rPr>
        <w:t>(1), 45–75. https://doi.org/10.1016/S1060-3743(99)80112-X</w:t>
      </w:r>
    </w:p>
    <w:p w14:paraId="0369EEE1"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Simpson, P. (1993). </w:t>
      </w:r>
      <w:r w:rsidRPr="00ED4813">
        <w:rPr>
          <w:rFonts w:ascii="Times New Roman" w:hAnsi="Times New Roman" w:cs="Times New Roman"/>
          <w:i/>
          <w:iCs/>
          <w:noProof/>
          <w:sz w:val="24"/>
          <w:szCs w:val="24"/>
        </w:rPr>
        <w:t>Language, ideology and point of view</w:t>
      </w:r>
      <w:r w:rsidRPr="00ED4813">
        <w:rPr>
          <w:rFonts w:ascii="Times New Roman" w:hAnsi="Times New Roman" w:cs="Times New Roman"/>
          <w:noProof/>
          <w:sz w:val="24"/>
          <w:szCs w:val="24"/>
        </w:rPr>
        <w:t>. New York: Routledge.</w:t>
      </w:r>
    </w:p>
    <w:p w14:paraId="11FDEA0F"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Swales, J. M. (1990). </w:t>
      </w:r>
      <w:r w:rsidRPr="00ED4813">
        <w:rPr>
          <w:rFonts w:ascii="Times New Roman" w:hAnsi="Times New Roman" w:cs="Times New Roman"/>
          <w:i/>
          <w:iCs/>
          <w:noProof/>
          <w:sz w:val="24"/>
          <w:szCs w:val="24"/>
        </w:rPr>
        <w:t>Genre Analysis. English in academic and research settings</w:t>
      </w:r>
      <w:r w:rsidRPr="00ED4813">
        <w:rPr>
          <w:rFonts w:ascii="Times New Roman" w:hAnsi="Times New Roman" w:cs="Times New Roman"/>
          <w:noProof/>
          <w:sz w:val="24"/>
          <w:szCs w:val="24"/>
        </w:rPr>
        <w:t>. Cambridge: Cambridge University Press.</w:t>
      </w:r>
    </w:p>
    <w:p w14:paraId="5508FD6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Tang, R., &amp; John, S. (1999). The ‘I’ in identity: Exploring writer identity in student academic writing through the first person pronoun.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(September 1998), S23–S39. https://doi.org/10.1016/S0889-4906(99)00009-5</w:t>
      </w:r>
    </w:p>
    <w:p w14:paraId="54EDCB2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Thompson, G. (2001). Interaction in Academic Writing : Learning to argue with the reader. </w:t>
      </w:r>
      <w:r w:rsidRPr="00ED4813">
        <w:rPr>
          <w:rFonts w:ascii="Times New Roman" w:hAnsi="Times New Roman" w:cs="Times New Roman"/>
          <w:i/>
          <w:noProof/>
          <w:sz w:val="24"/>
          <w:szCs w:val="24"/>
        </w:rPr>
        <w:t>Applied Linguistics</w:t>
      </w:r>
      <w:r w:rsidRPr="00ED4813">
        <w:rPr>
          <w:rFonts w:ascii="Times New Roman" w:hAnsi="Times New Roman" w:cs="Times New Roman"/>
          <w:noProof/>
          <w:sz w:val="24"/>
          <w:szCs w:val="24"/>
        </w:rPr>
        <w:t>, 22(1), 58–78.</w:t>
      </w:r>
    </w:p>
    <w:p w14:paraId="4197919A"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Zhao, C. G. (2017). Voice in timed L2 argumentative essay writing. </w:t>
      </w:r>
      <w:r w:rsidRPr="00ED4813">
        <w:rPr>
          <w:rFonts w:ascii="Times New Roman" w:hAnsi="Times New Roman" w:cs="Times New Roman"/>
          <w:i/>
          <w:iCs/>
          <w:noProof/>
          <w:sz w:val="24"/>
          <w:szCs w:val="24"/>
        </w:rPr>
        <w:t>Assessing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 73–83. https://doi.org/10.1016/j.asw.2016.08.004</w:t>
      </w:r>
    </w:p>
    <w:p w14:paraId="6EB9932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end"/>
      </w:r>
    </w:p>
    <w:bookmarkEnd w:id="0"/>
    <w:p w14:paraId="604EAF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5BE48D8"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0071E783" w14:textId="77777777" w:rsidR="00AD1F78" w:rsidRDefault="00AD1F78">
      <w:pPr>
        <w:pBdr>
          <w:top w:val="nil"/>
          <w:left w:val="nil"/>
          <w:bottom w:val="nil"/>
          <w:right w:val="nil"/>
          <w:between w:val="nil"/>
        </w:pBdr>
        <w:tabs>
          <w:tab w:val="left" w:pos="540"/>
        </w:tabs>
        <w:spacing w:after="0" w:line="240" w:lineRule="auto"/>
        <w:jc w:val="both"/>
        <w:rPr>
          <w:rFonts w:ascii="Times New Roman" w:eastAsia="Times New Roman" w:hAnsi="Times New Roman" w:cs="Times New Roman"/>
          <w:color w:val="000000"/>
          <w:sz w:val="24"/>
          <w:szCs w:val="24"/>
        </w:rPr>
      </w:pPr>
    </w:p>
    <w:sectPr w:rsidR="00AD1F78">
      <w:headerReference w:type="even" r:id="rId8"/>
      <w:headerReference w:type="default" r:id="rId9"/>
      <w:footerReference w:type="even" r:id="rId10"/>
      <w:footerReference w:type="default" r:id="rId11"/>
      <w:pgSz w:w="11909" w:h="16834"/>
      <w:pgMar w:top="1699" w:right="1411" w:bottom="1411" w:left="2275"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FB7FC" w14:textId="77777777" w:rsidR="00E56C68" w:rsidRDefault="00E56C68">
      <w:pPr>
        <w:spacing w:after="0" w:line="240" w:lineRule="auto"/>
      </w:pPr>
      <w:r>
        <w:separator/>
      </w:r>
    </w:p>
  </w:endnote>
  <w:endnote w:type="continuationSeparator" w:id="0">
    <w:p w14:paraId="45E1D297" w14:textId="77777777" w:rsidR="00E56C68" w:rsidRDefault="00E56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auto"/>
    <w:pitch w:val="default"/>
  </w:font>
  <w:font w:name="DejaVu Sans">
    <w:altName w:val="Times New Roman"/>
    <w:panose1 w:val="020B0604020202020204"/>
    <w:charset w:val="00"/>
    <w:family w:val="roman"/>
    <w:pitch w:val="default"/>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ulliver">
    <w:altName w:val="Yu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A2E8" w14:textId="77777777" w:rsidR="003065BF" w:rsidRDefault="003065BF">
    <w:pPr>
      <w:pBdr>
        <w:top w:val="nil"/>
        <w:left w:val="nil"/>
        <w:bottom w:val="nil"/>
        <w:right w:val="nil"/>
        <w:between w:val="nil"/>
      </w:pBdr>
      <w:tabs>
        <w:tab w:val="center" w:pos="4513"/>
        <w:tab w:val="right" w:pos="9026"/>
      </w:tabs>
      <w:spacing w:after="0" w:line="240" w:lineRule="auto"/>
      <w:ind w:hanging="1872"/>
      <w:jc w:val="right"/>
      <w:rPr>
        <w:rFonts w:ascii="Times New Roman" w:eastAsia="Times New Roman" w:hAnsi="Times New Roman" w:cs="Times New Roman"/>
        <w:color w:val="000000"/>
      </w:rPr>
    </w:pPr>
  </w:p>
  <w:p w14:paraId="2D0278A5" w14:textId="77777777" w:rsidR="003065BF" w:rsidRDefault="003065BF">
    <w:pPr>
      <w:pBdr>
        <w:top w:val="nil"/>
        <w:left w:val="nil"/>
        <w:bottom w:val="nil"/>
        <w:right w:val="nil"/>
        <w:between w:val="nil"/>
      </w:pBdr>
      <w:tabs>
        <w:tab w:val="center" w:pos="4513"/>
        <w:tab w:val="right" w:pos="9026"/>
      </w:tabs>
      <w:spacing w:after="0" w:line="240" w:lineRule="auto"/>
      <w:ind w:left="1872"/>
      <w:jc w:val="both"/>
      <w:rPr>
        <w:rFonts w:ascii="Liberation Serif" w:eastAsia="Liberation Serif" w:hAnsi="Liberation Serif" w:cs="Liberation Serif"/>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A573" w14:textId="77777777" w:rsidR="003065BF" w:rsidRDefault="003065BF">
    <w:pPr>
      <w:pBdr>
        <w:top w:val="nil"/>
        <w:left w:val="nil"/>
        <w:bottom w:val="nil"/>
        <w:right w:val="nil"/>
        <w:between w:val="nil"/>
      </w:pBdr>
      <w:tabs>
        <w:tab w:val="center" w:pos="4513"/>
        <w:tab w:val="right" w:pos="9026"/>
      </w:tabs>
      <w:spacing w:after="0" w:line="240" w:lineRule="auto"/>
      <w:ind w:hanging="1872"/>
      <w:rPr>
        <w:rFonts w:ascii="Times New Roman" w:eastAsia="Times New Roman" w:hAnsi="Times New Roman" w:cs="Times New Roman"/>
        <w:color w:val="000000"/>
      </w:rPr>
    </w:pPr>
  </w:p>
  <w:p w14:paraId="31B4FDA0" w14:textId="77777777" w:rsidR="003065BF" w:rsidRDefault="003065BF">
    <w:pPr>
      <w:pBdr>
        <w:top w:val="nil"/>
        <w:left w:val="nil"/>
        <w:bottom w:val="nil"/>
        <w:right w:val="nil"/>
        <w:between w:val="nil"/>
      </w:pBdr>
      <w:tabs>
        <w:tab w:val="center" w:pos="4513"/>
        <w:tab w:val="right" w:pos="9026"/>
      </w:tabs>
      <w:spacing w:after="0" w:line="240" w:lineRule="auto"/>
      <w:ind w:left="1872"/>
      <w:jc w:val="both"/>
      <w:rPr>
        <w:rFonts w:ascii="Liberation Serif" w:eastAsia="Liberation Serif" w:hAnsi="Liberation Serif" w:cs="Liberation Serif"/>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06555" w14:textId="77777777" w:rsidR="00E56C68" w:rsidRDefault="00E56C68">
      <w:pPr>
        <w:spacing w:after="0" w:line="240" w:lineRule="auto"/>
      </w:pPr>
      <w:r>
        <w:separator/>
      </w:r>
    </w:p>
  </w:footnote>
  <w:footnote w:type="continuationSeparator" w:id="0">
    <w:p w14:paraId="1FAC1EDA" w14:textId="77777777" w:rsidR="00E56C68" w:rsidRDefault="00E56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9085" w14:textId="77777777" w:rsidR="003065BF" w:rsidRDefault="003065BF">
    <w:pPr>
      <w:pBdr>
        <w:top w:val="nil"/>
        <w:left w:val="nil"/>
        <w:bottom w:val="nil"/>
        <w:right w:val="nil"/>
        <w:between w:val="nil"/>
      </w:pBdr>
      <w:spacing w:after="0" w:line="240" w:lineRule="auto"/>
      <w:jc w:val="right"/>
      <w:rPr>
        <w:rFonts w:ascii="Times New Roman" w:eastAsia="Times New Roman" w:hAnsi="Times New Roman" w:cs="Times New Roman"/>
        <w:b/>
        <w: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7DEB" w14:textId="77777777" w:rsidR="003065BF" w:rsidRDefault="003065BF">
    <w:pPr>
      <w:pBdr>
        <w:top w:val="nil"/>
        <w:left w:val="nil"/>
        <w:bottom w:val="nil"/>
        <w:right w:val="nil"/>
        <w:between w:val="nil"/>
      </w:pBdr>
      <w:spacing w:after="0" w:line="240" w:lineRule="auto"/>
      <w:rPr>
        <w:rFonts w:ascii="Times New Roman" w:eastAsia="Times New Roman" w:hAnsi="Times New Roman" w:cs="Times New Roman"/>
        <w:i/>
        <w:color w:val="000000"/>
      </w:rPr>
    </w:pPr>
  </w:p>
  <w:p w14:paraId="7C114E99" w14:textId="77777777" w:rsidR="003065BF" w:rsidRDefault="003065BF">
    <w:pPr>
      <w:pBdr>
        <w:top w:val="nil"/>
        <w:left w:val="nil"/>
        <w:bottom w:val="nil"/>
        <w:right w:val="nil"/>
        <w:between w:val="nil"/>
      </w:pBdr>
      <w:tabs>
        <w:tab w:val="center" w:pos="4680"/>
        <w:tab w:val="right" w:pos="9360"/>
      </w:tabs>
      <w:spacing w:after="0" w:line="240" w:lineRule="auto"/>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D1D08"/>
    <w:multiLevelType w:val="hybridMultilevel"/>
    <w:tmpl w:val="A30EB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EB72AE"/>
    <w:multiLevelType w:val="multilevel"/>
    <w:tmpl w:val="AB823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2624B9"/>
    <w:multiLevelType w:val="multilevel"/>
    <w:tmpl w:val="2D42A2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sTAxMDUwsDA3MjFW0lEKTi0uzszPAykwrAUAc/Kj6ywAAAA="/>
  </w:docVars>
  <w:rsids>
    <w:rsidRoot w:val="003065BF"/>
    <w:rsid w:val="0005561B"/>
    <w:rsid w:val="00091AA6"/>
    <w:rsid w:val="002365C7"/>
    <w:rsid w:val="002A4AA6"/>
    <w:rsid w:val="002D74D2"/>
    <w:rsid w:val="003065BF"/>
    <w:rsid w:val="0037472D"/>
    <w:rsid w:val="003A509A"/>
    <w:rsid w:val="004B341D"/>
    <w:rsid w:val="004C16F4"/>
    <w:rsid w:val="005B43DD"/>
    <w:rsid w:val="0075377F"/>
    <w:rsid w:val="00796C8D"/>
    <w:rsid w:val="007D3F97"/>
    <w:rsid w:val="009208FF"/>
    <w:rsid w:val="00977961"/>
    <w:rsid w:val="009F08C3"/>
    <w:rsid w:val="00AD1F78"/>
    <w:rsid w:val="00B03E72"/>
    <w:rsid w:val="00CB4BC8"/>
    <w:rsid w:val="00CB696B"/>
    <w:rsid w:val="00D24B03"/>
    <w:rsid w:val="00DD44EC"/>
    <w:rsid w:val="00E56C68"/>
    <w:rsid w:val="00F46EB4"/>
    <w:rsid w:val="00F830B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CDA9"/>
  <w15:docId w15:val="{BF6E0B74-FF79-4208-A0F0-8E37E396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27E"/>
    <w:rPr>
      <w:rFonts w:eastAsiaTheme="minorEastAsia"/>
      <w:lang w:eastAsia="en-GB"/>
    </w:rPr>
  </w:style>
  <w:style w:type="paragraph" w:styleId="Heading1">
    <w:name w:val="heading 1"/>
    <w:basedOn w:val="Normal"/>
    <w:next w:val="Normal"/>
    <w:link w:val="Heading1Char"/>
    <w:uiPriority w:val="9"/>
    <w:qFormat/>
    <w:rsid w:val="003447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345842"/>
    <w:pPr>
      <w:keepNext/>
      <w:keepLines/>
      <w:spacing w:before="200" w:after="0"/>
      <w:outlineLvl w:val="3"/>
    </w:pPr>
    <w:rPr>
      <w:rFonts w:ascii="Cambria" w:eastAsia="Times New Roman" w:hAnsi="Cambria" w:cs="Times New Roman"/>
      <w:b/>
      <w:bCs/>
      <w:i/>
      <w:iCs/>
      <w:color w:val="DDDDDD"/>
      <w:sz w:val="20"/>
      <w:szCs w:val="20"/>
      <w:lang w:eastAsia="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rsid w:val="00FB127E"/>
    <w:pPr>
      <w:tabs>
        <w:tab w:val="center" w:pos="4513"/>
        <w:tab w:val="right" w:pos="9026"/>
      </w:tabs>
      <w:suppressAutoHyphens/>
      <w:autoSpaceDN w:val="0"/>
      <w:spacing w:after="0" w:line="240" w:lineRule="auto"/>
      <w:ind w:left="1872"/>
      <w:jc w:val="both"/>
      <w:textAlignment w:val="baseline"/>
    </w:pPr>
    <w:rPr>
      <w:rFonts w:ascii="Liberation Serif" w:eastAsia="DejaVu Sans" w:hAnsi="Liberation Serif" w:cs="Mangal"/>
      <w:kern w:val="3"/>
      <w:sz w:val="24"/>
      <w:szCs w:val="21"/>
      <w:lang w:eastAsia="zh-CN" w:bidi="hi-IN"/>
    </w:rPr>
  </w:style>
  <w:style w:type="character" w:customStyle="1" w:styleId="FooterChar">
    <w:name w:val="Footer Char"/>
    <w:basedOn w:val="DefaultParagraphFont"/>
    <w:link w:val="Footer"/>
    <w:uiPriority w:val="99"/>
    <w:rsid w:val="00FB127E"/>
    <w:rPr>
      <w:rFonts w:ascii="Liberation Serif" w:eastAsia="DejaVu Sans" w:hAnsi="Liberation Serif" w:cs="Mangal"/>
      <w:kern w:val="3"/>
      <w:sz w:val="24"/>
      <w:szCs w:val="21"/>
      <w:lang w:val="en-GB" w:eastAsia="zh-CN" w:bidi="hi-IN"/>
    </w:rPr>
  </w:style>
  <w:style w:type="table" w:customStyle="1" w:styleId="LightShading1">
    <w:name w:val="Light Shading1"/>
    <w:basedOn w:val="TableNormal"/>
    <w:next w:val="LightShading2"/>
    <w:uiPriority w:val="60"/>
    <w:rsid w:val="00FB127E"/>
    <w:pPr>
      <w:spacing w:after="0" w:line="240" w:lineRule="auto"/>
    </w:pPr>
    <w:rPr>
      <w:rFonts w:ascii="Times New Roman" w:eastAsiaTheme="minorEastAsia" w:hAnsi="Times New Roman"/>
      <w:lang w:eastAsia="en-GB"/>
    </w:rPr>
    <w:tblPr>
      <w:tblStyleRowBandSize w:val="1"/>
      <w:tblStyleColBandSize w:val="1"/>
      <w:tblBorders>
        <w:top w:val="single" w:sz="4" w:space="0" w:color="FFFFFF" w:themeColor="background1"/>
        <w:bottom w:val="single" w:sz="4" w:space="0" w:color="FFFFFF" w:themeColor="background1"/>
      </w:tblBorders>
    </w:tblPr>
    <w:tcPr>
      <w:shd w:val="clear" w:color="auto" w:fill="auto"/>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FB127E"/>
    <w:pPr>
      <w:spacing w:after="0" w:line="240" w:lineRule="auto"/>
    </w:pPr>
    <w:rPr>
      <w:rFonts w:eastAsiaTheme="minorEastAsia"/>
      <w:lang w:eastAsia="en-GB"/>
    </w:rPr>
  </w:style>
  <w:style w:type="table" w:customStyle="1" w:styleId="LightShading2">
    <w:name w:val="Light Shading2"/>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link w:val="DefaultChar"/>
    <w:rsid w:val="00FB127E"/>
    <w:pPr>
      <w:autoSpaceDE w:val="0"/>
      <w:autoSpaceDN w:val="0"/>
      <w:adjustRightInd w:val="0"/>
      <w:spacing w:after="0" w:line="240" w:lineRule="auto"/>
    </w:pPr>
    <w:rPr>
      <w:rFonts w:eastAsiaTheme="minorEastAsia"/>
      <w:color w:val="000000"/>
      <w:sz w:val="24"/>
      <w:szCs w:val="24"/>
      <w:lang w:eastAsia="en-GB"/>
    </w:rPr>
  </w:style>
  <w:style w:type="table" w:customStyle="1" w:styleId="LightShading3">
    <w:name w:val="Light Shading3"/>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481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D84"/>
    <w:rPr>
      <w:rFonts w:ascii="Tahoma" w:eastAsiaTheme="minorEastAsia" w:hAnsi="Tahoma" w:cs="Tahoma"/>
      <w:sz w:val="16"/>
      <w:szCs w:val="16"/>
      <w:lang w:val="en-GB" w:eastAsia="en-GB"/>
    </w:rPr>
  </w:style>
  <w:style w:type="paragraph" w:styleId="ListParagraph">
    <w:name w:val="List Paragraph"/>
    <w:aliases w:val="Body of text"/>
    <w:basedOn w:val="Normal"/>
    <w:link w:val="ListParagraphChar"/>
    <w:uiPriority w:val="34"/>
    <w:qFormat/>
    <w:rsid w:val="00E13994"/>
    <w:pPr>
      <w:ind w:left="720"/>
      <w:contextualSpacing/>
    </w:pPr>
  </w:style>
  <w:style w:type="character" w:styleId="Hyperlink">
    <w:name w:val="Hyperlink"/>
    <w:basedOn w:val="DefaultParagraphFont"/>
    <w:uiPriority w:val="99"/>
    <w:unhideWhenUsed/>
    <w:rsid w:val="00517ADD"/>
    <w:rPr>
      <w:color w:val="0563C1" w:themeColor="hyperlink"/>
      <w:u w:val="single"/>
    </w:rPr>
  </w:style>
  <w:style w:type="paragraph" w:styleId="Header">
    <w:name w:val="header"/>
    <w:basedOn w:val="Normal"/>
    <w:link w:val="HeaderChar"/>
    <w:uiPriority w:val="99"/>
    <w:unhideWhenUsed/>
    <w:rsid w:val="005D4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1C"/>
    <w:rPr>
      <w:rFonts w:eastAsiaTheme="minorEastAsia"/>
      <w:lang w:val="en-GB" w:eastAsia="en-GB"/>
    </w:rPr>
  </w:style>
  <w:style w:type="character" w:customStyle="1" w:styleId="NoSpacingChar">
    <w:name w:val="No Spacing Char"/>
    <w:basedOn w:val="DefaultParagraphFont"/>
    <w:link w:val="NoSpacing"/>
    <w:uiPriority w:val="1"/>
    <w:rsid w:val="005D441C"/>
    <w:rPr>
      <w:rFonts w:eastAsiaTheme="minorEastAsia"/>
      <w:lang w:val="en-GB" w:eastAsia="en-GB"/>
    </w:rPr>
  </w:style>
  <w:style w:type="paragraph" w:styleId="FootnoteText">
    <w:name w:val="footnote text"/>
    <w:basedOn w:val="Normal"/>
    <w:link w:val="FootnoteTextChar"/>
    <w:uiPriority w:val="99"/>
    <w:unhideWhenUsed/>
    <w:rsid w:val="005C4CF4"/>
    <w:pPr>
      <w:spacing w:after="0" w:line="240" w:lineRule="auto"/>
    </w:pPr>
    <w:rPr>
      <w:rFonts w:eastAsia="Calibri" w:cs="Times New Roman"/>
      <w:sz w:val="20"/>
      <w:szCs w:val="20"/>
      <w:lang w:eastAsia="en-US"/>
    </w:rPr>
  </w:style>
  <w:style w:type="character" w:customStyle="1" w:styleId="FootnoteTextChar">
    <w:name w:val="Footnote Text Char"/>
    <w:basedOn w:val="DefaultParagraphFont"/>
    <w:link w:val="FootnoteText"/>
    <w:uiPriority w:val="99"/>
    <w:rsid w:val="005C4CF4"/>
    <w:rPr>
      <w:rFonts w:ascii="Calibri" w:eastAsia="Calibri" w:hAnsi="Calibri" w:cs="Times New Roman"/>
      <w:sz w:val="20"/>
      <w:szCs w:val="20"/>
      <w:lang w:val="en-GB"/>
    </w:rPr>
  </w:style>
  <w:style w:type="character" w:styleId="FootnoteReference">
    <w:name w:val="footnote reference"/>
    <w:uiPriority w:val="99"/>
    <w:semiHidden/>
    <w:unhideWhenUsed/>
    <w:rsid w:val="005C4CF4"/>
    <w:rPr>
      <w:vertAlign w:val="superscript"/>
    </w:rPr>
  </w:style>
  <w:style w:type="paragraph" w:customStyle="1" w:styleId="EndNoteBibliographyTitle">
    <w:name w:val="EndNote Bibliography Title"/>
    <w:basedOn w:val="Normal"/>
    <w:link w:val="EndNoteBibliographyTitleChar"/>
    <w:rsid w:val="006F3855"/>
    <w:pPr>
      <w:spacing w:after="0"/>
      <w:jc w:val="center"/>
    </w:pPr>
    <w:rPr>
      <w:rFonts w:ascii="Times New Roman" w:hAnsi="Times New Roman" w:cs="Times New Roman"/>
      <w:noProof/>
      <w:sz w:val="24"/>
    </w:rPr>
  </w:style>
  <w:style w:type="character" w:customStyle="1" w:styleId="DefaultChar">
    <w:name w:val="Default Char"/>
    <w:basedOn w:val="DefaultParagraphFont"/>
    <w:link w:val="Default"/>
    <w:rsid w:val="006F3855"/>
    <w:rPr>
      <w:rFonts w:ascii="Calibri" w:eastAsiaTheme="minorEastAsia" w:hAnsi="Calibri" w:cs="Calibri"/>
      <w:color w:val="000000"/>
      <w:sz w:val="24"/>
      <w:szCs w:val="24"/>
      <w:lang w:eastAsia="en-GB"/>
    </w:rPr>
  </w:style>
  <w:style w:type="character" w:customStyle="1" w:styleId="EndNoteBibliographyTitleChar">
    <w:name w:val="EndNote Bibliography Title Char"/>
    <w:basedOn w:val="DefaultChar"/>
    <w:link w:val="EndNoteBibliographyTitle"/>
    <w:rsid w:val="006F3855"/>
    <w:rPr>
      <w:rFonts w:ascii="Times New Roman" w:eastAsiaTheme="minorEastAsia" w:hAnsi="Times New Roman" w:cs="Times New Roman"/>
      <w:noProof/>
      <w:color w:val="000000"/>
      <w:sz w:val="24"/>
      <w:szCs w:val="24"/>
      <w:lang w:val="en-GB" w:eastAsia="en-GB"/>
    </w:rPr>
  </w:style>
  <w:style w:type="paragraph" w:customStyle="1" w:styleId="EndNoteBibliography">
    <w:name w:val="EndNote Bibliography"/>
    <w:basedOn w:val="Normal"/>
    <w:link w:val="EndNoteBibliographyChar"/>
    <w:rsid w:val="006F3855"/>
    <w:pPr>
      <w:spacing w:line="240" w:lineRule="auto"/>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6F3855"/>
    <w:rPr>
      <w:rFonts w:ascii="Times New Roman" w:eastAsiaTheme="minorEastAsia" w:hAnsi="Times New Roman" w:cs="Times New Roman"/>
      <w:noProof/>
      <w:color w:val="000000"/>
      <w:sz w:val="24"/>
      <w:szCs w:val="24"/>
      <w:lang w:val="en-GB" w:eastAsia="en-GB"/>
    </w:rPr>
  </w:style>
  <w:style w:type="table" w:styleId="TableGrid">
    <w:name w:val="Table Grid"/>
    <w:basedOn w:val="TableNormal"/>
    <w:uiPriority w:val="39"/>
    <w:rsid w:val="00396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4F1D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F1D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3B2C8A"/>
    <w:rPr>
      <w:color w:val="954F72" w:themeColor="followedHyperlink"/>
      <w:u w:val="single"/>
    </w:rPr>
  </w:style>
  <w:style w:type="character" w:styleId="CommentReference">
    <w:name w:val="annotation reference"/>
    <w:basedOn w:val="DefaultParagraphFont"/>
    <w:uiPriority w:val="99"/>
    <w:semiHidden/>
    <w:unhideWhenUsed/>
    <w:rsid w:val="00A5261A"/>
    <w:rPr>
      <w:sz w:val="16"/>
      <w:szCs w:val="16"/>
    </w:rPr>
  </w:style>
  <w:style w:type="paragraph" w:styleId="CommentText">
    <w:name w:val="annotation text"/>
    <w:basedOn w:val="Normal"/>
    <w:link w:val="CommentTextChar"/>
    <w:uiPriority w:val="99"/>
    <w:semiHidden/>
    <w:unhideWhenUsed/>
    <w:rsid w:val="00A5261A"/>
    <w:pPr>
      <w:spacing w:line="240" w:lineRule="auto"/>
    </w:pPr>
    <w:rPr>
      <w:sz w:val="20"/>
      <w:szCs w:val="20"/>
    </w:rPr>
  </w:style>
  <w:style w:type="character" w:customStyle="1" w:styleId="CommentTextChar">
    <w:name w:val="Comment Text Char"/>
    <w:basedOn w:val="DefaultParagraphFont"/>
    <w:link w:val="CommentText"/>
    <w:uiPriority w:val="99"/>
    <w:semiHidden/>
    <w:rsid w:val="00A5261A"/>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A5261A"/>
    <w:rPr>
      <w:b/>
      <w:bCs/>
    </w:rPr>
  </w:style>
  <w:style w:type="character" w:customStyle="1" w:styleId="CommentSubjectChar">
    <w:name w:val="Comment Subject Char"/>
    <w:basedOn w:val="CommentTextChar"/>
    <w:link w:val="CommentSubject"/>
    <w:uiPriority w:val="99"/>
    <w:semiHidden/>
    <w:rsid w:val="00A5261A"/>
    <w:rPr>
      <w:rFonts w:eastAsiaTheme="minorEastAsia"/>
      <w:b/>
      <w:bCs/>
      <w:sz w:val="20"/>
      <w:szCs w:val="20"/>
      <w:lang w:val="en-GB" w:eastAsia="en-GB"/>
    </w:rPr>
  </w:style>
  <w:style w:type="table" w:customStyle="1" w:styleId="PlainTable210">
    <w:name w:val="Plain Table 21"/>
    <w:basedOn w:val="TableNormal"/>
    <w:uiPriority w:val="42"/>
    <w:rsid w:val="0081616A"/>
    <w:pPr>
      <w:spacing w:after="0" w:line="240" w:lineRule="auto"/>
    </w:pPr>
    <w:rPr>
      <w:rFonts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uiPriority w:val="20"/>
    <w:qFormat/>
    <w:rsid w:val="00762C5B"/>
    <w:rPr>
      <w:i/>
      <w:iCs/>
    </w:rPr>
  </w:style>
  <w:style w:type="character" w:customStyle="1" w:styleId="ListParagraphChar">
    <w:name w:val="List Paragraph Char"/>
    <w:aliases w:val="Body of text Char"/>
    <w:link w:val="ListParagraph"/>
    <w:uiPriority w:val="34"/>
    <w:locked/>
    <w:rsid w:val="004C1E57"/>
    <w:rPr>
      <w:rFonts w:eastAsiaTheme="minorEastAsia"/>
      <w:lang w:val="en-GB" w:eastAsia="en-GB"/>
    </w:rPr>
  </w:style>
  <w:style w:type="character" w:customStyle="1" w:styleId="subline">
    <w:name w:val="subline"/>
    <w:basedOn w:val="DefaultParagraphFont"/>
    <w:rsid w:val="00713088"/>
  </w:style>
  <w:style w:type="table" w:customStyle="1" w:styleId="TableGridLight1">
    <w:name w:val="Table Grid Light1"/>
    <w:basedOn w:val="TableNormal"/>
    <w:uiPriority w:val="40"/>
    <w:rsid w:val="003458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345842"/>
    <w:rPr>
      <w:rFonts w:ascii="Cambria" w:eastAsia="Times New Roman" w:hAnsi="Cambria" w:cs="Times New Roman"/>
      <w:b/>
      <w:bCs/>
      <w:i/>
      <w:iCs/>
      <w:color w:val="DDDDDD"/>
      <w:sz w:val="20"/>
      <w:szCs w:val="20"/>
      <w:lang w:val="en-GB"/>
    </w:rPr>
  </w:style>
  <w:style w:type="character" w:customStyle="1" w:styleId="Heading1Char">
    <w:name w:val="Heading 1 Char"/>
    <w:basedOn w:val="DefaultParagraphFont"/>
    <w:link w:val="Heading1"/>
    <w:uiPriority w:val="9"/>
    <w:rsid w:val="003447C4"/>
    <w:rPr>
      <w:rFonts w:asciiTheme="majorHAnsi" w:eastAsiaTheme="majorEastAsia" w:hAnsiTheme="majorHAnsi" w:cstheme="majorBidi"/>
      <w:color w:val="2E74B5" w:themeColor="accent1" w:themeShade="BF"/>
      <w:sz w:val="32"/>
      <w:szCs w:val="32"/>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4B341D"/>
    <w:rPr>
      <w:color w:val="605E5C"/>
      <w:shd w:val="clear" w:color="auto" w:fill="E1DFDD"/>
    </w:rPr>
  </w:style>
  <w:style w:type="character" w:customStyle="1" w:styleId="Heading2Char">
    <w:name w:val="Heading 2 Char"/>
    <w:basedOn w:val="DefaultParagraphFont"/>
    <w:link w:val="Heading2"/>
    <w:uiPriority w:val="9"/>
    <w:rsid w:val="00AD1F78"/>
    <w:rPr>
      <w:rFonts w:eastAsiaTheme="minorEastAsia"/>
      <w:b/>
      <w:sz w:val="36"/>
      <w:szCs w:val="36"/>
      <w:lang w:eastAsia="en-GB"/>
    </w:rPr>
  </w:style>
  <w:style w:type="character" w:customStyle="1" w:styleId="Heading3Char">
    <w:name w:val="Heading 3 Char"/>
    <w:basedOn w:val="DefaultParagraphFont"/>
    <w:link w:val="Heading3"/>
    <w:uiPriority w:val="9"/>
    <w:rsid w:val="00AD1F78"/>
    <w:rPr>
      <w:rFonts w:eastAsiaTheme="minorEastAsia"/>
      <w:b/>
      <w:sz w:val="28"/>
      <w:szCs w:val="28"/>
      <w:lang w:eastAsia="en-GB"/>
    </w:rPr>
  </w:style>
  <w:style w:type="paragraph" w:styleId="Revision">
    <w:name w:val="Revision"/>
    <w:hidden/>
    <w:uiPriority w:val="99"/>
    <w:semiHidden/>
    <w:rsid w:val="00AD1F78"/>
    <w:pPr>
      <w:spacing w:after="0" w:line="240" w:lineRule="auto"/>
    </w:pPr>
    <w:rPr>
      <w:rFonts w:asciiTheme="minorHAnsi" w:eastAsiaTheme="minorHAnsi" w:hAnsiTheme="minorHAnsi" w:cstheme="minorBidi"/>
      <w:lang w:eastAsia="en-US"/>
    </w:rPr>
  </w:style>
  <w:style w:type="table" w:styleId="GridTable4-Accent2">
    <w:name w:val="Grid Table 4 Accent 2"/>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
    <w:name w:val="Grid Table 4"/>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AD1F78"/>
    <w:pPr>
      <w:spacing w:after="0" w:line="240" w:lineRule="auto"/>
    </w:pPr>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AD1F78"/>
    <w:rPr>
      <w:rFonts w:asciiTheme="minorHAnsi" w:eastAsiaTheme="minorHAnsi" w:hAnsiTheme="minorHAnsi" w:cstheme="minorBidi"/>
      <w:sz w:val="20"/>
      <w:szCs w:val="20"/>
      <w:lang w:eastAsia="en-US"/>
    </w:rPr>
  </w:style>
  <w:style w:type="character" w:styleId="EndnoteReference">
    <w:name w:val="endnote reference"/>
    <w:basedOn w:val="DefaultParagraphFont"/>
    <w:uiPriority w:val="99"/>
    <w:semiHidden/>
    <w:unhideWhenUsed/>
    <w:rsid w:val="00AD1F78"/>
    <w:rPr>
      <w:vertAlign w:val="superscript"/>
    </w:rPr>
  </w:style>
  <w:style w:type="table" w:styleId="GridTable2">
    <w:name w:val="Grid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urful">
    <w:name w:val="Grid Table 6 Colorful"/>
    <w:basedOn w:val="TableNormal"/>
    <w:uiPriority w:val="51"/>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
    <w:name w:val="Grid Table 7 Colorful"/>
    <w:basedOn w:val="TableNormal"/>
    <w:uiPriority w:val="52"/>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AD1F78"/>
    <w:pPr>
      <w:spacing w:after="0" w:line="240" w:lineRule="auto"/>
    </w:pPr>
    <w:rPr>
      <w:rFonts w:asciiTheme="minorHAnsi" w:eastAsiaTheme="minorHAnsi" w:hAnsiTheme="minorHAnsi" w:cstheme="minorBid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
    <w:name w:val="Grid Table 3"/>
    <w:basedOn w:val="TableNormal"/>
    <w:uiPriority w:val="48"/>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basedOn w:val="DefaultParagraphFont"/>
    <w:uiPriority w:val="99"/>
    <w:semiHidden/>
    <w:unhideWhenUsed/>
    <w:rsid w:val="00AD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jwMXFyE5k8w/4E2hlI4Pa1BN8A==">AMUW2mWDdXixeAZ1qKVovCrM/zrMEyICAAysSeXkd0ya5qxnMFrlwnWlLiP18MpPKlCxytSr4HLiO9FnLzPj7e8ZNxO/yKJxkF7/UX0e1YPf/f7fWU6d+9OvqSlemSlSdV4udSj/QUUV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20</Pages>
  <Words>27248</Words>
  <Characters>155318</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Alims Elijah Ayaawan</cp:lastModifiedBy>
  <cp:revision>9</cp:revision>
  <dcterms:created xsi:type="dcterms:W3CDTF">2022-01-22T12:53:00Z</dcterms:created>
  <dcterms:modified xsi:type="dcterms:W3CDTF">2022-01-31T12:10:00Z</dcterms:modified>
</cp:coreProperties>
</file>