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318A80" w14:textId="77777777" w:rsidR="004139E1" w:rsidRDefault="00C53D0D">
      <w:pPr>
        <w:spacing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CONTEXT-MOTIVATED ENGLISH INTONATION CHOICES IN NIGERIA NATIONAL ASSEMBLY PLENARY SESSIONS</w:t>
      </w:r>
    </w:p>
    <w:p w14:paraId="1F9B5799" w14:textId="77777777" w:rsidR="004139E1" w:rsidRDefault="004139E1">
      <w:pPr>
        <w:spacing w:line="480" w:lineRule="auto"/>
        <w:jc w:val="both"/>
        <w:rPr>
          <w:rFonts w:ascii="Times New Roman" w:hAnsi="Times New Roman" w:cs="Times New Roman"/>
          <w:b/>
          <w:sz w:val="24"/>
          <w:szCs w:val="24"/>
        </w:rPr>
      </w:pPr>
    </w:p>
    <w:p w14:paraId="257C4F3E" w14:textId="77777777" w:rsidR="004139E1" w:rsidRDefault="00C53D0D" w:rsidP="00A95257">
      <w:pPr>
        <w:spacing w:line="240" w:lineRule="auto"/>
        <w:rPr>
          <w:rFonts w:ascii="Times New Roman" w:hAnsi="Times New Roman" w:cs="Times New Roman"/>
          <w:b/>
          <w:sz w:val="24"/>
          <w:szCs w:val="24"/>
        </w:rPr>
      </w:pPr>
      <w:r>
        <w:rPr>
          <w:rFonts w:ascii="Times New Roman" w:hAnsi="Times New Roman" w:cs="Times New Roman"/>
          <w:b/>
          <w:sz w:val="24"/>
          <w:szCs w:val="24"/>
        </w:rPr>
        <w:t>ABSTRACT</w:t>
      </w:r>
    </w:p>
    <w:p w14:paraId="2CF8BC04" w14:textId="77777777" w:rsidR="004139E1" w:rsidRDefault="00C53D0D">
      <w:pPr>
        <w:spacing w:line="240"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Existing studies on Nigerian English Intonation have described the grammatical, attitudinal and accentual features of intonation, while the discourse feature of Nigerian English Intonation has not been duly examined. A good instance of context of naturally-occurring speeches where intonation can be better described is the plenary session of the Nigerian National Assembly. This present study explored </w:t>
      </w:r>
      <w:r>
        <w:rPr>
          <w:rFonts w:ascii="Times New Roman" w:eastAsia="Calibri" w:hAnsi="Times New Roman" w:cs="Times New Roman"/>
          <w:sz w:val="24"/>
          <w:szCs w:val="24"/>
        </w:rPr>
        <w:t>the intonation patterns used at Nigerian National Assembly plenaries by identifying the intonation patterns, categorising and describing them, and examining the influence(s) of the interactional context on the intonation patterns.</w:t>
      </w:r>
    </w:p>
    <w:p w14:paraId="5D51ABA9" w14:textId="77777777" w:rsidR="004139E1" w:rsidRDefault="00C53D0D">
      <w:pPr>
        <w:spacing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ar-SA"/>
        </w:rPr>
        <w:t xml:space="preserve">Forty-one non-interrogative tone units </w:t>
      </w:r>
      <w:r>
        <w:rPr>
          <w:rFonts w:ascii="Times New Roman" w:hAnsi="Times New Roman" w:cs="Times New Roman"/>
          <w:sz w:val="24"/>
          <w:szCs w:val="24"/>
        </w:rPr>
        <w:t xml:space="preserve">of </w:t>
      </w:r>
      <w:commentRangeStart w:id="0"/>
      <w:r>
        <w:rPr>
          <w:rFonts w:ascii="Times New Roman" w:hAnsi="Times New Roman" w:cs="Times New Roman"/>
          <w:sz w:val="24"/>
          <w:szCs w:val="24"/>
        </w:rPr>
        <w:t>selected Nigerian federal legislators</w:t>
      </w:r>
      <w:commentRangeEnd w:id="0"/>
      <w:r w:rsidR="00681A85">
        <w:rPr>
          <w:rStyle w:val="CommentReference"/>
        </w:rPr>
        <w:commentReference w:id="0"/>
      </w:r>
      <w:r>
        <w:rPr>
          <w:rFonts w:ascii="Times New Roman" w:hAnsi="Times New Roman" w:cs="Times New Roman"/>
          <w:sz w:val="24"/>
          <w:szCs w:val="24"/>
        </w:rPr>
        <w:t xml:space="preserve"> in the 8th parliamentary session (2015-2019) were analysed. The selection of these tone units was based on </w:t>
      </w:r>
      <w:commentRangeStart w:id="1"/>
      <w:r>
        <w:rPr>
          <w:rFonts w:ascii="Times New Roman" w:hAnsi="Times New Roman" w:cs="Times New Roman"/>
          <w:sz w:val="24"/>
          <w:szCs w:val="24"/>
        </w:rPr>
        <w:t>the</w:t>
      </w:r>
      <w:commentRangeEnd w:id="1"/>
      <w:r w:rsidR="00B86C5B">
        <w:rPr>
          <w:rStyle w:val="CommentReference"/>
        </w:rPr>
        <w:commentReference w:id="1"/>
      </w:r>
      <w:r>
        <w:rPr>
          <w:rFonts w:ascii="Times New Roman" w:hAnsi="Times New Roman" w:cs="Times New Roman"/>
          <w:sz w:val="24"/>
          <w:szCs w:val="24"/>
        </w:rPr>
        <w:t xml:space="preserve"> structural types and how central they were to the message of the excerpts drawn from six different videos of </w:t>
      </w:r>
      <w:commentRangeStart w:id="2"/>
      <w:r>
        <w:rPr>
          <w:rFonts w:ascii="Times New Roman" w:hAnsi="Times New Roman" w:cs="Times New Roman"/>
          <w:sz w:val="24"/>
          <w:szCs w:val="24"/>
        </w:rPr>
        <w:t>their</w:t>
      </w:r>
      <w:commentRangeEnd w:id="2"/>
      <w:r w:rsidR="00B86C5B">
        <w:rPr>
          <w:rStyle w:val="CommentReference"/>
        </w:rPr>
        <w:commentReference w:id="2"/>
      </w:r>
      <w:r>
        <w:rPr>
          <w:rFonts w:ascii="Times New Roman" w:hAnsi="Times New Roman" w:cs="Times New Roman"/>
          <w:sz w:val="24"/>
          <w:szCs w:val="24"/>
        </w:rPr>
        <w:t xml:space="preserve"> plenary sessions.  Brazil’s (1997) Discourse Intonation Model formed the theoretical framework for discussing the intonation tunes deployed on the tone units and spectrograms were generated with PRAAT. </w:t>
      </w:r>
      <w:r w:rsidRPr="006E4947">
        <w:rPr>
          <w:rFonts w:ascii="Times New Roman" w:hAnsi="Times New Roman" w:cs="Times New Roman"/>
          <w:color w:val="FF0000"/>
          <w:sz w:val="24"/>
          <w:szCs w:val="24"/>
        </w:rPr>
        <w:t>W</w:t>
      </w:r>
      <w:r w:rsidRPr="006E4947">
        <w:rPr>
          <w:rFonts w:ascii="Times New Roman" w:eastAsia="Times New Roman" w:hAnsi="Times New Roman" w:cs="Times New Roman"/>
          <w:color w:val="FF0000"/>
          <w:sz w:val="24"/>
          <w:szCs w:val="24"/>
          <w:lang w:eastAsia="ar-SA"/>
        </w:rPr>
        <w:t>hile</w:t>
      </w:r>
      <w:r w:rsidRPr="006E4947">
        <w:rPr>
          <w:rFonts w:ascii="Times New Roman" w:eastAsia="Times New Roman" w:hAnsi="Times New Roman" w:cs="Times New Roman"/>
          <w:color w:val="FF0000"/>
          <w:sz w:val="24"/>
          <w:szCs w:val="24"/>
          <w:lang w:eastAsia="en-GB"/>
        </w:rPr>
        <w:t xml:space="preserve"> sixteen participants demonstrated total conformity to DI, five performed on exact average</w:t>
      </w:r>
      <w:r w:rsidRPr="006E4947">
        <w:rPr>
          <w:rFonts w:ascii="Times New Roman" w:eastAsia="Times New Roman" w:hAnsi="Times New Roman" w:cs="Times New Roman"/>
          <w:color w:val="FF0000"/>
          <w:sz w:val="24"/>
          <w:szCs w:val="24"/>
          <w:lang w:eastAsia="ar-SA"/>
        </w:rPr>
        <w:t>.</w:t>
      </w:r>
      <w:r>
        <w:rPr>
          <w:rFonts w:ascii="Times New Roman" w:eastAsia="Times New Roman" w:hAnsi="Times New Roman" w:cs="Times New Roman"/>
          <w:sz w:val="24"/>
          <w:szCs w:val="24"/>
          <w:lang w:eastAsia="ar-SA"/>
        </w:rPr>
        <w:t xml:space="preserve"> </w:t>
      </w:r>
      <w:commentRangeStart w:id="3"/>
      <w:r>
        <w:rPr>
          <w:rFonts w:ascii="Times New Roman" w:eastAsia="Times New Roman" w:hAnsi="Times New Roman" w:cs="Times New Roman"/>
          <w:sz w:val="24"/>
          <w:szCs w:val="24"/>
          <w:lang w:eastAsia="ar-SA"/>
        </w:rPr>
        <w:t xml:space="preserve">The study also found out that </w:t>
      </w:r>
      <w:r>
        <w:rPr>
          <w:rFonts w:ascii="Times New Roman" w:hAnsi="Times New Roman" w:cs="Times New Roman"/>
          <w:sz w:val="24"/>
          <w:szCs w:val="24"/>
        </w:rPr>
        <w:t xml:space="preserve">there were noticeable differences in the intonation patterns of male and female Nigerian federal legislators. While the male participants, to some extent, conformed to DI in their use of tunes on both interrogative and non-interrogative tone units, the female participants upheld the </w:t>
      </w:r>
      <w:commentRangeStart w:id="4"/>
      <w:r>
        <w:rPr>
          <w:rFonts w:ascii="Times New Roman" w:hAnsi="Times New Roman" w:cs="Times New Roman"/>
          <w:sz w:val="24"/>
          <w:szCs w:val="24"/>
        </w:rPr>
        <w:t>grammatical rule-based intonation</w:t>
      </w:r>
      <w:commentRangeEnd w:id="4"/>
      <w:r w:rsidR="00B86C5B">
        <w:rPr>
          <w:rStyle w:val="CommentReference"/>
        </w:rPr>
        <w:commentReference w:id="4"/>
      </w:r>
      <w:r>
        <w:rPr>
          <w:rFonts w:ascii="Times New Roman" w:hAnsi="Times New Roman" w:cs="Times New Roman"/>
          <w:sz w:val="24"/>
          <w:szCs w:val="24"/>
        </w:rPr>
        <w:t xml:space="preserve"> patterns.</w:t>
      </w:r>
      <w:commentRangeEnd w:id="3"/>
      <w:r w:rsidR="00290A44">
        <w:rPr>
          <w:rStyle w:val="CommentReference"/>
        </w:rPr>
        <w:commentReference w:id="3"/>
      </w:r>
    </w:p>
    <w:p w14:paraId="213353CE" w14:textId="77777777" w:rsidR="004139E1" w:rsidRDefault="00C53D0D">
      <w:pPr>
        <w:suppressAutoHyphens/>
        <w:autoSpaceDE w:val="0"/>
        <w:spacing w:after="0" w:line="240" w:lineRule="auto"/>
        <w:jc w:val="both"/>
        <w:rPr>
          <w:rFonts w:ascii="Times New Roman" w:eastAsia="Times New Roman" w:hAnsi="Times New Roman" w:cs="Times New Roman"/>
          <w:sz w:val="24"/>
          <w:szCs w:val="24"/>
          <w:lang w:eastAsia="ar-SA"/>
        </w:rPr>
      </w:pPr>
      <w:commentRangeStart w:id="5"/>
      <w:commentRangeStart w:id="6"/>
      <w:r>
        <w:rPr>
          <w:rFonts w:ascii="Times New Roman" w:hAnsi="Times New Roman" w:cs="Times New Roman"/>
          <w:sz w:val="24"/>
          <w:szCs w:val="24"/>
        </w:rPr>
        <w:t>The</w:t>
      </w:r>
      <w:commentRangeEnd w:id="5"/>
      <w:r w:rsidR="00892C70">
        <w:rPr>
          <w:rStyle w:val="CommentReference"/>
        </w:rPr>
        <w:commentReference w:id="5"/>
      </w:r>
      <w:r>
        <w:rPr>
          <w:rFonts w:ascii="Times New Roman" w:hAnsi="Times New Roman" w:cs="Times New Roman"/>
          <w:sz w:val="24"/>
          <w:szCs w:val="24"/>
        </w:rPr>
        <w:t xml:space="preserve"> patterns of Nigerian federal legislators were not consistent with DI</w:t>
      </w:r>
      <w:commentRangeEnd w:id="6"/>
      <w:r w:rsidR="00681A85">
        <w:rPr>
          <w:rStyle w:val="CommentReference"/>
        </w:rPr>
        <w:commentReference w:id="6"/>
      </w:r>
      <w:r>
        <w:rPr>
          <w:rFonts w:ascii="Times New Roman" w:hAnsi="Times New Roman" w:cs="Times New Roman"/>
          <w:sz w:val="24"/>
          <w:szCs w:val="24"/>
        </w:rPr>
        <w:t>; rather they were hugely in line with the formalised intonation rules. They were not conscious of the communicative value of English intonation in discourse but they were mainly concerned with structural patterns of these tone units. Thus, it was suggested that DI should be emphasised in schools at different levels to foster proficient use of intonation in context.</w:t>
      </w:r>
    </w:p>
    <w:p w14:paraId="4922BE68" w14:textId="77777777" w:rsidR="004139E1" w:rsidRDefault="004139E1">
      <w:pPr>
        <w:spacing w:line="240" w:lineRule="auto"/>
        <w:jc w:val="both"/>
        <w:rPr>
          <w:rFonts w:ascii="Times New Roman" w:hAnsi="Times New Roman" w:cs="Times New Roman"/>
          <w:b/>
          <w:sz w:val="24"/>
          <w:szCs w:val="24"/>
        </w:rPr>
      </w:pPr>
    </w:p>
    <w:p w14:paraId="54EF7AF0"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b/>
          <w:sz w:val="24"/>
          <w:szCs w:val="24"/>
        </w:rPr>
        <w:t>Keywords:</w:t>
      </w:r>
      <w:r>
        <w:rPr>
          <w:rFonts w:ascii="Times New Roman" w:hAnsi="Times New Roman" w:cs="Times New Roman"/>
          <w:sz w:val="24"/>
          <w:szCs w:val="24"/>
        </w:rPr>
        <w:tab/>
        <w:t>Naturally-occurring speeches, Nigerian federal legislators, National Assembly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plenary sessions, Discourse Intonation</w:t>
      </w:r>
    </w:p>
    <w:p w14:paraId="024C3D41" w14:textId="77777777" w:rsidR="004139E1" w:rsidRDefault="004139E1">
      <w:pPr>
        <w:spacing w:line="240" w:lineRule="auto"/>
        <w:jc w:val="both"/>
        <w:rPr>
          <w:rFonts w:ascii="Times New Roman" w:hAnsi="Times New Roman" w:cs="Times New Roman"/>
          <w:sz w:val="24"/>
          <w:szCs w:val="24"/>
        </w:rPr>
      </w:pPr>
    </w:p>
    <w:p w14:paraId="41D6A7F3" w14:textId="77777777" w:rsidR="004139E1" w:rsidRDefault="00C53D0D">
      <w:pPr>
        <w:pStyle w:val="ListParagraph"/>
        <w:numPr>
          <w:ilvl w:val="0"/>
          <w:numId w:val="1"/>
        </w:numPr>
        <w:spacing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Introduction</w:t>
      </w:r>
    </w:p>
    <w:p w14:paraId="62F5FE1A" w14:textId="77777777" w:rsidR="004139E1" w:rsidRDefault="00C53D0D">
      <w:pPr>
        <w:spacing w:line="240" w:lineRule="auto"/>
        <w:jc w:val="both"/>
        <w:rPr>
          <w:rFonts w:ascii="Times New Roman" w:hAnsi="Times New Roman" w:cs="Times New Roman"/>
          <w:sz w:val="24"/>
          <w:szCs w:val="24"/>
        </w:rPr>
      </w:pPr>
      <w:r>
        <w:rPr>
          <w:rFonts w:ascii="Times New Roman" w:eastAsia="Calibri" w:hAnsi="Times New Roman" w:cs="Times New Roman"/>
          <w:sz w:val="24"/>
          <w:szCs w:val="24"/>
        </w:rPr>
        <w:t xml:space="preserve">Intonation is dynamic in nature and cannot always be regulated by grammatical rules, especially in the context of naturally-occurring or spontaneous speeches. McNeill et al. (2001) opine that “the organisation of discourse is inseparable from gesture and prosody” and that “[they are] different sides of a single mental communicative process”. </w:t>
      </w:r>
      <w:r>
        <w:rPr>
          <w:rFonts w:ascii="Times New Roman" w:hAnsi="Times New Roman" w:cs="Times New Roman"/>
          <w:sz w:val="24"/>
          <w:szCs w:val="24"/>
        </w:rPr>
        <w:t>Nigerian English, on the other hand, is a “variety of English which has often been suggested to differ from other varieties of English, especially in the area of prosody” (Gut, 2005</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154). Scholars have explored the prosodic features: stress, intonation and rhythm of Nigerian English.  While many existing studies on English intonation </w:t>
      </w:r>
      <w:r>
        <w:rPr>
          <w:rFonts w:ascii="Times New Roman" w:hAnsi="Times New Roman" w:cs="Times New Roman"/>
          <w:sz w:val="24"/>
          <w:szCs w:val="24"/>
        </w:rPr>
        <w:lastRenderedPageBreak/>
        <w:t xml:space="preserve">patterns of Nigerian speakers have concentrated on rule-governed patterns, very few researchers seem to have explored the intonational choices of </w:t>
      </w:r>
      <w:commentRangeStart w:id="7"/>
      <w:r>
        <w:rPr>
          <w:rFonts w:ascii="Times New Roman" w:hAnsi="Times New Roman" w:cs="Times New Roman"/>
          <w:sz w:val="24"/>
          <w:szCs w:val="24"/>
        </w:rPr>
        <w:t>Nigerian speakers</w:t>
      </w:r>
      <w:commentRangeEnd w:id="7"/>
      <w:r w:rsidR="00FA4125">
        <w:rPr>
          <w:rStyle w:val="CommentReference"/>
        </w:rPr>
        <w:commentReference w:id="7"/>
      </w:r>
      <w:r>
        <w:rPr>
          <w:rFonts w:ascii="Times New Roman" w:hAnsi="Times New Roman" w:cs="Times New Roman"/>
          <w:sz w:val="24"/>
          <w:szCs w:val="24"/>
        </w:rPr>
        <w:t xml:space="preserve"> in spontaneous utterances.</w:t>
      </w:r>
    </w:p>
    <w:p w14:paraId="122220B6" w14:textId="4934E635"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Jowitt (1991) avers that in an L2 situation, intonation patterns cannot be acquired as used by native speakers. They are consciously le</w:t>
      </w:r>
      <w:r w:rsidR="00C70D3B">
        <w:rPr>
          <w:rFonts w:ascii="Times New Roman" w:hAnsi="Times New Roman" w:cs="Times New Roman"/>
          <w:sz w:val="24"/>
          <w:szCs w:val="24"/>
        </w:rPr>
        <w:t xml:space="preserve">arnt and since their complexity – </w:t>
      </w:r>
      <w:r>
        <w:rPr>
          <w:rFonts w:ascii="Times New Roman" w:hAnsi="Times New Roman" w:cs="Times New Roman"/>
          <w:sz w:val="24"/>
          <w:szCs w:val="24"/>
        </w:rPr>
        <w:t xml:space="preserve">like </w:t>
      </w:r>
      <w:commentRangeStart w:id="8"/>
      <w:r>
        <w:rPr>
          <w:rFonts w:ascii="Times New Roman" w:hAnsi="Times New Roman" w:cs="Times New Roman"/>
          <w:sz w:val="24"/>
          <w:szCs w:val="24"/>
        </w:rPr>
        <w:t>stress — timing</w:t>
      </w:r>
      <w:commentRangeEnd w:id="8"/>
      <w:r w:rsidR="00C70D3B">
        <w:rPr>
          <w:rStyle w:val="CommentReference"/>
        </w:rPr>
        <w:commentReference w:id="8"/>
      </w:r>
      <w:r>
        <w:rPr>
          <w:rFonts w:ascii="Times New Roman" w:hAnsi="Times New Roman" w:cs="Times New Roman"/>
          <w:sz w:val="24"/>
          <w:szCs w:val="24"/>
        </w:rPr>
        <w:t xml:space="preserve"> tends to repel all but motivated learners, they go for the most unlearned part to account for the meaning which they could not achieve with the tunes. Further, Udofot (1997) observes that pauses between intonation groups are shorter in Nigerian English than in British English. She notes that there is a preference for ‘end-stress’ in intonation phrases. </w:t>
      </w:r>
      <w:commentRangeStart w:id="9"/>
      <w:r>
        <w:rPr>
          <w:rFonts w:ascii="Times New Roman" w:hAnsi="Times New Roman" w:cs="Times New Roman"/>
          <w:sz w:val="24"/>
          <w:szCs w:val="24"/>
        </w:rPr>
        <w:t>Lending credence to the observations of Ufomata (1997), Adetugbo (1977) and Eka (1985)</w:t>
      </w:r>
      <w:commentRangeEnd w:id="9"/>
      <w:r w:rsidR="009D691D">
        <w:rPr>
          <w:rStyle w:val="CommentReference"/>
        </w:rPr>
        <w:commentReference w:id="9"/>
      </w:r>
      <w:r>
        <w:rPr>
          <w:rFonts w:ascii="Times New Roman" w:hAnsi="Times New Roman" w:cs="Times New Roman"/>
          <w:sz w:val="24"/>
          <w:szCs w:val="24"/>
        </w:rPr>
        <w:t xml:space="preserve"> view that the most problematic area of Nigerian English phonology is rhythm </w:t>
      </w:r>
      <w:commentRangeStart w:id="10"/>
      <w:r>
        <w:rPr>
          <w:rFonts w:ascii="Times New Roman" w:hAnsi="Times New Roman" w:cs="Times New Roman"/>
          <w:sz w:val="24"/>
          <w:szCs w:val="24"/>
        </w:rPr>
        <w:t>and having</w:t>
      </w:r>
      <w:commentRangeEnd w:id="10"/>
      <w:r w:rsidR="009D691D">
        <w:rPr>
          <w:rStyle w:val="CommentReference"/>
        </w:rPr>
        <w:commentReference w:id="10"/>
      </w:r>
      <w:r>
        <w:rPr>
          <w:rFonts w:ascii="Times New Roman" w:hAnsi="Times New Roman" w:cs="Times New Roman"/>
          <w:sz w:val="24"/>
          <w:szCs w:val="24"/>
        </w:rPr>
        <w:t xml:space="preserve"> studied the systematic differences in the intonational patterns between Nigerian English and British English, Jowitt (2000) enumerates the characteristics of Nigerian English intonation system: </w:t>
      </w:r>
    </w:p>
    <w:p w14:paraId="424DA3DC" w14:textId="77777777" w:rsidR="004139E1" w:rsidRDefault="00C53D0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Fall predominates in a statement, WH- questions and command,</w:t>
      </w:r>
    </w:p>
    <w:p w14:paraId="3793FC2C" w14:textId="77777777" w:rsidR="004139E1" w:rsidRDefault="00C53D0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Rise predominates in yes/no and tag questions,</w:t>
      </w:r>
    </w:p>
    <w:p w14:paraId="433E083D" w14:textId="77777777" w:rsidR="004139E1" w:rsidRDefault="00C53D0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Complex tunes were seldom used, although there are some instances where the rise-fall is used for strong emphasis,</w:t>
      </w:r>
    </w:p>
    <w:p w14:paraId="3DCEE759" w14:textId="77777777" w:rsidR="004139E1" w:rsidRDefault="00C53D0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End stress is a general rule for information group,</w:t>
      </w:r>
    </w:p>
    <w:p w14:paraId="458E1D58" w14:textId="77777777" w:rsidR="004139E1" w:rsidRDefault="00C53D0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Lexical words carry a pitch accent, and invariably pitch accents are relatively high.</w:t>
      </w:r>
    </w:p>
    <w:p w14:paraId="780894E7" w14:textId="77777777" w:rsidR="004139E1" w:rsidRDefault="00C53D0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The core pattern for heads is an initial high pitch followed by down drift before the commencement of the nucleus.</w:t>
      </w:r>
    </w:p>
    <w:p w14:paraId="7C455D3F" w14:textId="77777777" w:rsidR="004139E1" w:rsidRDefault="00C53D0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Where the core pattern includes a falling nucleus, it is a low-falling nucleus.</w:t>
      </w:r>
    </w:p>
    <w:p w14:paraId="0C17397E" w14:textId="77777777" w:rsidR="004139E1" w:rsidRDefault="004139E1">
      <w:pPr>
        <w:pStyle w:val="NoSpacing"/>
        <w:ind w:left="1080"/>
        <w:rPr>
          <w:rFonts w:ascii="Times New Roman" w:hAnsi="Times New Roman" w:cs="Times New Roman"/>
          <w:sz w:val="24"/>
          <w:szCs w:val="24"/>
        </w:rPr>
      </w:pPr>
    </w:p>
    <w:p w14:paraId="72055722"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Education is a fluid variable that can be affected by other variables. Adejuwon (2016</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33) commented that his data cannot be extended to all Nigerian users of English as there are Educated Nigerians who are more proficient in the use of English intonation than his participants. In addition to this, the context could have also affected the rendition of the participants; while some might be trying to impress the researcher, some might be afraid. </w:t>
      </w:r>
    </w:p>
    <w:p w14:paraId="51ECB4AD"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Furthermore, the study of Adejuwon (2003) revealed that the majority of Nigerian radio broadcasters in South-western </w:t>
      </w:r>
      <w:commentRangeStart w:id="11"/>
      <w:r>
        <w:rPr>
          <w:rFonts w:ascii="Times New Roman" w:hAnsi="Times New Roman" w:cs="Times New Roman"/>
          <w:sz w:val="24"/>
          <w:szCs w:val="24"/>
        </w:rPr>
        <w:t>in</w:t>
      </w:r>
      <w:commentRangeEnd w:id="11"/>
      <w:r w:rsidR="009B6D3F">
        <w:rPr>
          <w:rStyle w:val="CommentReference"/>
        </w:rPr>
        <w:commentReference w:id="11"/>
      </w:r>
      <w:r>
        <w:rPr>
          <w:rFonts w:ascii="Times New Roman" w:hAnsi="Times New Roman" w:cs="Times New Roman"/>
          <w:sz w:val="24"/>
          <w:szCs w:val="24"/>
        </w:rPr>
        <w:t xml:space="preserve"> Nigeria were unable to interpret intonation tunes played back to them. Also, they do not usually deploy these tunes while casting news. Buttressing the opinion of Adejuwon (2003), Atoye (2005) opines that the level of perception of intonation was higher than the level of interpretation of meaning in his study investigating the perception and interpretation of a subclass of sentence intonation by some Nigerian users of English. There is however a need to mention that the data read by the broadcasters were prepared by the researcher and this “could not be devoid of affectations” (Adejuwon 2016) or “observer’s paradox” (Labov, 1972).</w:t>
      </w:r>
    </w:p>
    <w:p w14:paraId="00DC3E79" w14:textId="52223FDA"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Fajobi (2013) carried out an acoustic investigation of intonation in Nigerian English, concentrating on the extent to which Yoruba influences speakers’ spoken English. Her study examined on Yoruba-influenced-Nigerian-English intonation of eight Yoruba native speakers, four had lived in London for 25</w:t>
      </w:r>
      <w:r w:rsidR="00D23869">
        <w:rPr>
          <w:rFonts w:ascii="Times New Roman" w:hAnsi="Times New Roman" w:cs="Times New Roman"/>
          <w:sz w:val="24"/>
          <w:szCs w:val="24"/>
        </w:rPr>
        <w:t xml:space="preserve"> </w:t>
      </w:r>
      <w:r>
        <w:rPr>
          <w:rFonts w:ascii="Times New Roman" w:hAnsi="Times New Roman" w:cs="Times New Roman"/>
          <w:sz w:val="24"/>
          <w:szCs w:val="24"/>
        </w:rPr>
        <w:t>years and the other four resided in Nigeria. She generated pitch contours from PRAAT software and her analyses were buttressed statistically using SPSS. The study thus found out that “to a very large extent and irrespective of where Nigerians speakers are located, Yoruba Nigerian English intonation relates more to Yoruba than to the native English intonation system” (Fajobi, 2013</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75). Although this study set out to explore Nigerian English intonation, it concentrated on the Yoruba Nigerian English. Also, there is a gap of discourse intonation. </w:t>
      </w:r>
    </w:p>
    <w:p w14:paraId="1C555178"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Odeyemi (2016) examined context and Discourse Intonation in English medium product advertisements on radio and television in Nigeria. Using Discourse Intonation as his framework, he explored how Nigerians use intonation in radio and television advertisements. Jingles used in electronic media advertisements are sometimes scripted and usually recorded and edited after a series of rehearsals. This defines the utterances considered in his study as different from naturally-occurring utterances.</w:t>
      </w:r>
    </w:p>
    <w:p w14:paraId="10233433" w14:textId="6C3707A9"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In a study on Natural Speech and Intonation Rule Patterns, with 200 tone units of selected Educated Nigerian speakers of English, Adejuwon (2016) concludes that there is a remarkable gap between the natural speech intonation patterns of educated Nigerian Speakers of English and formalised intonation rules. Using the Discourse intonation proposed by (Brazil 1997), two different groups of Educated Nigerians were studied. While the data of group A were electronic data recorded during television and radio interviews, the data of group B</w:t>
      </w:r>
      <w:commentRangeStart w:id="12"/>
      <w:r>
        <w:rPr>
          <w:rFonts w:ascii="Times New Roman" w:hAnsi="Times New Roman" w:cs="Times New Roman"/>
          <w:sz w:val="24"/>
          <w:szCs w:val="24"/>
        </w:rPr>
        <w:t>, the focus group, were discussion-generated</w:t>
      </w:r>
      <w:commentRangeEnd w:id="12"/>
      <w:r w:rsidR="00A02530">
        <w:rPr>
          <w:rStyle w:val="CommentReference"/>
        </w:rPr>
        <w:commentReference w:id="12"/>
      </w:r>
      <w:r>
        <w:rPr>
          <w:rFonts w:ascii="Times New Roman" w:hAnsi="Times New Roman" w:cs="Times New Roman"/>
          <w:sz w:val="24"/>
          <w:szCs w:val="24"/>
        </w:rPr>
        <w:t xml:space="preserve">. According to him, DI is yet a strange model in the English intonation of </w:t>
      </w:r>
      <w:r w:rsidR="00A02530">
        <w:rPr>
          <w:rFonts w:ascii="Times New Roman" w:hAnsi="Times New Roman" w:cs="Times New Roman"/>
          <w:sz w:val="24"/>
          <w:szCs w:val="24"/>
        </w:rPr>
        <w:t xml:space="preserve">educated </w:t>
      </w:r>
      <w:r>
        <w:rPr>
          <w:rFonts w:ascii="Times New Roman" w:hAnsi="Times New Roman" w:cs="Times New Roman"/>
          <w:sz w:val="24"/>
          <w:szCs w:val="24"/>
        </w:rPr>
        <w:t>Nigerian speakers of English; thus, he concludes that educated Nigerian speaker</w:t>
      </w:r>
      <w:r w:rsidR="00A02530">
        <w:rPr>
          <w:rFonts w:ascii="Times New Roman" w:hAnsi="Times New Roman" w:cs="Times New Roman"/>
          <w:sz w:val="24"/>
          <w:szCs w:val="24"/>
        </w:rPr>
        <w:t>s of English</w:t>
      </w:r>
      <w:r>
        <w:rPr>
          <w:rFonts w:ascii="Times New Roman" w:hAnsi="Times New Roman" w:cs="Times New Roman"/>
          <w:sz w:val="24"/>
          <w:szCs w:val="24"/>
        </w:rPr>
        <w:t xml:space="preserve"> generally lack the knowledge on the use of the discourse intonation model, and there is a disparity between their intonation patterns in natural speeches and the formalised intonation rules. His findings, therefore, corroborate some of the positions of Udofot (1997); Gut (2004), and Jowitt (2000). Although this study covers people from all walks of life, it does not include legislators and how intonation is used in the process of law-making.</w:t>
      </w:r>
    </w:p>
    <w:p w14:paraId="31965212"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Again, few scholars seem to have deployed the DI in the study of the English intonation patterns of Educated Nigerians. Thus, the study of Adejuwon (2016) and Odeyemi (2016) can be regarded as pioneering elaborate works on the discourse intonation patterns of educated Nigerian speakers of English. However, one gap that is yet to be adequately addressed is the contextual influence(s) on intonation (especially in the process of law-making), which DI can duly explore. By investigating how Nigerian federal legislators make choices from the intonation patterns, this study hopes to avoid observer’s paradox (Labov, 1972), affectations (Adejuwon, 2016), and generate reliable data to make plausible suggestions and contributions to the positions of scholars on Nigerian English intonation.</w:t>
      </w:r>
    </w:p>
    <w:p w14:paraId="6ED74DF2" w14:textId="77777777" w:rsidR="004139E1" w:rsidRDefault="004139E1">
      <w:pPr>
        <w:autoSpaceDE w:val="0"/>
        <w:autoSpaceDN w:val="0"/>
        <w:adjustRightInd w:val="0"/>
        <w:spacing w:after="0" w:line="240" w:lineRule="auto"/>
        <w:jc w:val="both"/>
        <w:rPr>
          <w:rFonts w:ascii="Times New Roman" w:eastAsia="Calibri" w:hAnsi="Times New Roman" w:cs="Times New Roman"/>
          <w:sz w:val="24"/>
          <w:szCs w:val="24"/>
        </w:rPr>
      </w:pPr>
    </w:p>
    <w:p w14:paraId="54D63775" w14:textId="77777777" w:rsidR="004139E1" w:rsidRDefault="00C53D0D">
      <w:pPr>
        <w:autoSpaceDE w:val="0"/>
        <w:autoSpaceDN w:val="0"/>
        <w:adjustRightInd w:val="0"/>
        <w:spacing w:after="0" w:line="24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2. Brazil’s Discourse Intonation</w:t>
      </w:r>
    </w:p>
    <w:p w14:paraId="391A735F" w14:textId="790CA8DA" w:rsidR="004139E1" w:rsidRDefault="00C53D0D">
      <w:pPr>
        <w:spacing w:line="240" w:lineRule="auto"/>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en-GB"/>
        </w:rPr>
        <w:t xml:space="preserve">The theoretical framework of this study is the discourse intonation approach to intonational analysis proposed by Brazil (1997). Brazil’s model elucidates the underlying principles regarding the communicative value of intonation in naturally-occurring interactions. </w:t>
      </w:r>
      <w:r>
        <w:rPr>
          <w:rFonts w:ascii="Times New Roman" w:eastAsia="Calibri" w:hAnsi="Times New Roman" w:cs="Times New Roman"/>
          <w:sz w:val="24"/>
          <w:szCs w:val="24"/>
        </w:rPr>
        <w:t>The importance and relevance of DI have been acknowledged by many scholars. First, it provides the most satisfactory explanation for the intonation choices speakers make. The model is attractive because it is simple and has a powerful explan</w:t>
      </w:r>
      <w:r w:rsidR="0013776A">
        <w:rPr>
          <w:rFonts w:ascii="Times New Roman" w:eastAsia="Calibri" w:hAnsi="Times New Roman" w:cs="Times New Roman"/>
          <w:sz w:val="24"/>
          <w:szCs w:val="24"/>
        </w:rPr>
        <w:t>atory force.</w:t>
      </w:r>
      <w:r>
        <w:rPr>
          <w:rFonts w:ascii="Times New Roman" w:eastAsia="Calibri" w:hAnsi="Times New Roman" w:cs="Times New Roman"/>
          <w:sz w:val="24"/>
          <w:szCs w:val="24"/>
        </w:rPr>
        <w:t xml:space="preserve"> </w:t>
      </w:r>
      <w:r w:rsidR="0013776A">
        <w:rPr>
          <w:rFonts w:ascii="Times New Roman" w:eastAsia="Calibri" w:hAnsi="Times New Roman" w:cs="Times New Roman"/>
          <w:sz w:val="24"/>
          <w:szCs w:val="24"/>
        </w:rPr>
        <w:t>N</w:t>
      </w:r>
      <w:r>
        <w:rPr>
          <w:rFonts w:ascii="Times New Roman" w:eastAsia="Calibri" w:hAnsi="Times New Roman" w:cs="Times New Roman"/>
          <w:sz w:val="24"/>
          <w:szCs w:val="24"/>
        </w:rPr>
        <w:t>ot only can it account for frequently-occ</w:t>
      </w:r>
      <w:r w:rsidR="0013776A">
        <w:rPr>
          <w:rFonts w:ascii="Times New Roman" w:eastAsia="Calibri" w:hAnsi="Times New Roman" w:cs="Times New Roman"/>
          <w:sz w:val="24"/>
          <w:szCs w:val="24"/>
        </w:rPr>
        <w:t>urring patterns in conversation,</w:t>
      </w:r>
      <w:r>
        <w:rPr>
          <w:rFonts w:ascii="Times New Roman" w:eastAsia="Calibri" w:hAnsi="Times New Roman" w:cs="Times New Roman"/>
          <w:sz w:val="24"/>
          <w:szCs w:val="24"/>
        </w:rPr>
        <w:t xml:space="preserve"> it equally provides the exceptions to those patterns (Ranalli, 2002). Adejuwon (2016) says DI is concerned with the speakers’ moment-by-moment context-referenced choices. Thus, given the currency of this theory, its wide acceptance and profound relevance to naturally-occurring speech, the present </w:t>
      </w:r>
      <w:r w:rsidR="00545F15">
        <w:rPr>
          <w:rFonts w:ascii="Times New Roman" w:eastAsia="Calibri" w:hAnsi="Times New Roman" w:cs="Times New Roman"/>
          <w:sz w:val="24"/>
          <w:szCs w:val="24"/>
        </w:rPr>
        <w:t xml:space="preserve">study </w:t>
      </w:r>
      <w:r>
        <w:rPr>
          <w:rFonts w:ascii="Times New Roman" w:eastAsia="Calibri" w:hAnsi="Times New Roman" w:cs="Times New Roman"/>
          <w:sz w:val="24"/>
          <w:szCs w:val="24"/>
        </w:rPr>
        <w:t>adopts it.</w:t>
      </w:r>
    </w:p>
    <w:p w14:paraId="75B6A010" w14:textId="77777777" w:rsidR="0013776A" w:rsidRDefault="0013776A">
      <w:pPr>
        <w:spacing w:line="240" w:lineRule="auto"/>
        <w:jc w:val="both"/>
        <w:rPr>
          <w:rFonts w:ascii="Times New Roman" w:eastAsia="Calibri" w:hAnsi="Times New Roman" w:cs="Times New Roman"/>
          <w:sz w:val="24"/>
          <w:szCs w:val="24"/>
        </w:rPr>
      </w:pPr>
    </w:p>
    <w:p w14:paraId="46C8E49E" w14:textId="77777777" w:rsidR="004139E1" w:rsidRDefault="00C53D0D">
      <w:pPr>
        <w:spacing w:line="240" w:lineRule="auto"/>
        <w:jc w:val="both"/>
        <w:rPr>
          <w:rFonts w:ascii="Times New Roman" w:eastAsia="Times New Roman" w:hAnsi="Times New Roman" w:cs="Times New Roman"/>
          <w:sz w:val="24"/>
          <w:szCs w:val="24"/>
          <w:lang w:eastAsia="en-GB"/>
        </w:rPr>
      </w:pPr>
      <w:commentRangeStart w:id="13"/>
      <w:r>
        <w:rPr>
          <w:rFonts w:ascii="Times New Roman" w:eastAsia="Calibri" w:hAnsi="Times New Roman" w:cs="Times New Roman"/>
          <w:b/>
          <w:sz w:val="24"/>
          <w:szCs w:val="24"/>
        </w:rPr>
        <w:t>2.1 DI Systems of Speaker Choice</w:t>
      </w:r>
    </w:p>
    <w:p w14:paraId="23F76AD3" w14:textId="77777777" w:rsidR="004139E1" w:rsidRDefault="00C53D0D">
      <w:p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With emphasises on naturally-occurring context-referenced tone patterns, DI has four systems of speaker choice: prominence, tone, key and termination. The relationship between the four systems is that prominence fixes the domain of the three variables of tone and key or termination, all of which contribute to the communicative value of the tone unit (Brazil 1997). They foster intonation to represent the existential context that projects the role-relationship and the state of convergence between the speaker and the listener.</w:t>
      </w:r>
      <w:commentRangeEnd w:id="13"/>
      <w:r w:rsidR="0013776A">
        <w:rPr>
          <w:rStyle w:val="CommentReference"/>
        </w:rPr>
        <w:commentReference w:id="13"/>
      </w:r>
    </w:p>
    <w:p w14:paraId="65C9E9EE" w14:textId="77777777" w:rsidR="004139E1" w:rsidRDefault="004139E1">
      <w:pPr>
        <w:autoSpaceDE w:val="0"/>
        <w:autoSpaceDN w:val="0"/>
        <w:adjustRightInd w:val="0"/>
        <w:spacing w:after="0" w:line="240" w:lineRule="auto"/>
        <w:jc w:val="both"/>
        <w:rPr>
          <w:rFonts w:ascii="Times New Roman" w:eastAsia="Calibri" w:hAnsi="Times New Roman" w:cs="Times New Roman"/>
          <w:b/>
          <w:sz w:val="24"/>
          <w:szCs w:val="24"/>
        </w:rPr>
      </w:pPr>
    </w:p>
    <w:p w14:paraId="0E204208" w14:textId="77777777" w:rsidR="004139E1" w:rsidRDefault="00C53D0D">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b/>
      </w:r>
    </w:p>
    <w:p w14:paraId="0691D5F9" w14:textId="77777777" w:rsidR="004139E1" w:rsidRDefault="00C53D0D">
      <w:pPr>
        <w:suppressAutoHyphens/>
        <w:autoSpaceDE w:val="0"/>
        <w:spacing w:after="0" w:line="240" w:lineRule="auto"/>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3</w:t>
      </w:r>
      <w:r>
        <w:rPr>
          <w:rFonts w:ascii="Times New Roman" w:eastAsia="Times New Roman" w:hAnsi="Times New Roman" w:cs="Times New Roman"/>
          <w:b/>
          <w:sz w:val="24"/>
          <w:szCs w:val="24"/>
          <w:lang w:eastAsia="ar-SA"/>
        </w:rPr>
        <w:tab/>
        <w:t>Methodology</w:t>
      </w:r>
    </w:p>
    <w:p w14:paraId="23CA5340" w14:textId="0D5FE402" w:rsidR="004139E1" w:rsidRDefault="00C53D0D">
      <w:pPr>
        <w:spacing w:line="240" w:lineRule="auto"/>
        <w:jc w:val="both"/>
        <w:rPr>
          <w:rFonts w:ascii="Times New Roman" w:hAnsi="Times New Roman" w:cs="Times New Roman"/>
          <w:color w:val="FF0000"/>
          <w:sz w:val="24"/>
          <w:szCs w:val="24"/>
        </w:rPr>
      </w:pPr>
      <w:r>
        <w:rPr>
          <w:rFonts w:ascii="Times New Roman" w:hAnsi="Times New Roman" w:cs="Times New Roman"/>
          <w:sz w:val="24"/>
          <w:szCs w:val="24"/>
        </w:rPr>
        <w:t xml:space="preserve">In respect to the aim and objectives of this study, </w:t>
      </w:r>
      <w:commentRangeStart w:id="14"/>
      <w:r>
        <w:rPr>
          <w:rFonts w:ascii="Times New Roman" w:hAnsi="Times New Roman" w:cs="Times New Roman"/>
          <w:sz w:val="24"/>
          <w:szCs w:val="24"/>
        </w:rPr>
        <w:t>the data,</w:t>
      </w:r>
      <w:commentRangeEnd w:id="14"/>
      <w:r w:rsidR="0013776A">
        <w:rPr>
          <w:rStyle w:val="CommentReference"/>
        </w:rPr>
        <w:commentReference w:id="14"/>
      </w:r>
      <w:r>
        <w:rPr>
          <w:rFonts w:ascii="Times New Roman" w:hAnsi="Times New Roman" w:cs="Times New Roman"/>
          <w:sz w:val="24"/>
          <w:szCs w:val="24"/>
        </w:rPr>
        <w:t xml:space="preserve"> the intonation tunes used by the study participants were identified and the frequency of occurrence was determined. Forty-one</w:t>
      </w:r>
      <w:r>
        <w:rPr>
          <w:rFonts w:ascii="Times New Roman" w:eastAsia="Times New Roman" w:hAnsi="Times New Roman" w:cs="Times New Roman"/>
          <w:sz w:val="24"/>
          <w:szCs w:val="24"/>
          <w:lang w:eastAsia="ar-SA"/>
        </w:rPr>
        <w:t xml:space="preserve"> non-interrogative tone units </w:t>
      </w:r>
      <w:commentRangeStart w:id="15"/>
      <w:r>
        <w:rPr>
          <w:rFonts w:ascii="Times New Roman" w:eastAsia="Times New Roman" w:hAnsi="Times New Roman" w:cs="Times New Roman"/>
          <w:sz w:val="24"/>
          <w:szCs w:val="24"/>
          <w:lang w:eastAsia="ar-SA"/>
        </w:rPr>
        <w:t>are</w:t>
      </w:r>
      <w:commentRangeEnd w:id="15"/>
      <w:r w:rsidR="0013776A">
        <w:rPr>
          <w:rStyle w:val="CommentReference"/>
        </w:rPr>
        <w:commentReference w:id="15"/>
      </w:r>
      <w:r>
        <w:rPr>
          <w:rFonts w:ascii="Times New Roman" w:eastAsia="Times New Roman" w:hAnsi="Times New Roman" w:cs="Times New Roman"/>
          <w:sz w:val="24"/>
          <w:szCs w:val="24"/>
          <w:lang w:eastAsia="ar-SA"/>
        </w:rPr>
        <w:t xml:space="preserve"> purposively selected for analysis from six excerpts based on their structural types and how central they are to the messages in these excerpts.</w:t>
      </w:r>
      <w:r>
        <w:rPr>
          <w:rFonts w:ascii="Times New Roman" w:hAnsi="Times New Roman" w:cs="Times New Roman"/>
          <w:sz w:val="24"/>
          <w:szCs w:val="24"/>
        </w:rPr>
        <w:t xml:space="preserve"> </w:t>
      </w:r>
      <w:commentRangeStart w:id="16"/>
      <w:r>
        <w:rPr>
          <w:rFonts w:ascii="Times New Roman" w:hAnsi="Times New Roman" w:cs="Times New Roman"/>
          <w:sz w:val="24"/>
          <w:szCs w:val="24"/>
        </w:rPr>
        <w:t>Twenty-four Nigerian federal legislators constitute the participants for this study</w:t>
      </w:r>
      <w:commentRangeEnd w:id="16"/>
      <w:r w:rsidR="0013776A">
        <w:rPr>
          <w:rStyle w:val="CommentReference"/>
        </w:rPr>
        <w:commentReference w:id="16"/>
      </w:r>
      <w:r>
        <w:rPr>
          <w:rFonts w:ascii="Times New Roman" w:hAnsi="Times New Roman" w:cs="Times New Roman"/>
          <w:sz w:val="24"/>
          <w:szCs w:val="24"/>
        </w:rPr>
        <w:t xml:space="preserve">; twelve legislators from the Senate and the other twelve from the House of Representatives in the 8th Parliamentary Session (2015-2019 Administration). Following the provisions of the 1999 constitution of the Federal Republic of Nigeria, Nigerian legislators hold at least the First School leaving Certificate educational qualification, and are not younger than 35 years (for Senate) and 30 years (for House of Representatives). </w:t>
      </w:r>
      <w:commentRangeStart w:id="17"/>
      <w:r>
        <w:rPr>
          <w:rFonts w:ascii="Times New Roman" w:hAnsi="Times New Roman" w:cs="Times New Roman"/>
          <w:sz w:val="24"/>
          <w:szCs w:val="24"/>
        </w:rPr>
        <w:t>The present researcher, therefore, concentrates on those who hold educational qualification</w:t>
      </w:r>
      <w:r w:rsidR="005E3645">
        <w:rPr>
          <w:rFonts w:ascii="Times New Roman" w:hAnsi="Times New Roman" w:cs="Times New Roman"/>
          <w:sz w:val="24"/>
          <w:szCs w:val="24"/>
        </w:rPr>
        <w:t>s</w:t>
      </w:r>
      <w:r>
        <w:rPr>
          <w:rFonts w:ascii="Times New Roman" w:hAnsi="Times New Roman" w:cs="Times New Roman"/>
          <w:sz w:val="24"/>
          <w:szCs w:val="24"/>
        </w:rPr>
        <w:t xml:space="preserve"> higher than SSCE.</w:t>
      </w:r>
      <w:commentRangeEnd w:id="17"/>
      <w:r w:rsidR="001101B5">
        <w:rPr>
          <w:rStyle w:val="CommentReference"/>
        </w:rPr>
        <w:commentReference w:id="17"/>
      </w:r>
      <w:r>
        <w:rPr>
          <w:rFonts w:ascii="Times New Roman" w:hAnsi="Times New Roman" w:cs="Times New Roman"/>
          <w:sz w:val="24"/>
          <w:szCs w:val="24"/>
          <w:lang w:val="en-US"/>
        </w:rPr>
        <w:t xml:space="preserve"> </w:t>
      </w:r>
      <w:commentRangeStart w:id="18"/>
      <w:r>
        <w:rPr>
          <w:rFonts w:ascii="Times New Roman" w:hAnsi="Times New Roman" w:cs="Times New Roman"/>
          <w:sz w:val="24"/>
          <w:szCs w:val="24"/>
        </w:rPr>
        <w:t>For the acoustic analysis, the selected utterances were played back on PRAAT software on the computer.</w:t>
      </w:r>
      <w:commentRangeEnd w:id="18"/>
      <w:r w:rsidR="00AE6F20">
        <w:rPr>
          <w:rStyle w:val="CommentReference"/>
        </w:rPr>
        <w:commentReference w:id="18"/>
      </w:r>
      <w:r>
        <w:rPr>
          <w:rFonts w:ascii="Times New Roman" w:hAnsi="Times New Roman" w:cs="Times New Roman"/>
          <w:sz w:val="24"/>
          <w:szCs w:val="24"/>
        </w:rPr>
        <w:t xml:space="preserve"> Some of the visual representations of the tone units (spectrograms) extracted from the utterances in the excerpts were generated and discussed in relation to the interactional context</w:t>
      </w:r>
      <w:r w:rsidRPr="005E3645">
        <w:rPr>
          <w:rFonts w:ascii="Times New Roman" w:hAnsi="Times New Roman" w:cs="Times New Roman"/>
          <w:sz w:val="24"/>
          <w:szCs w:val="24"/>
        </w:rPr>
        <w:t>.</w:t>
      </w:r>
      <w:r>
        <w:rPr>
          <w:rFonts w:ascii="Times New Roman" w:hAnsi="Times New Roman" w:cs="Times New Roman"/>
          <w:color w:val="FF0000"/>
          <w:sz w:val="24"/>
          <w:szCs w:val="24"/>
        </w:rPr>
        <w:tab/>
      </w:r>
    </w:p>
    <w:p w14:paraId="23E89505" w14:textId="77777777" w:rsidR="004139E1" w:rsidRDefault="004139E1">
      <w:pPr>
        <w:spacing w:line="240" w:lineRule="auto"/>
        <w:jc w:val="both"/>
        <w:rPr>
          <w:rFonts w:ascii="Times New Roman" w:hAnsi="Times New Roman" w:cs="Times New Roman"/>
          <w:b/>
          <w:sz w:val="24"/>
          <w:szCs w:val="24"/>
        </w:rPr>
      </w:pPr>
    </w:p>
    <w:p w14:paraId="2CA9A155" w14:textId="77777777" w:rsidR="004139E1" w:rsidRDefault="00C53D0D">
      <w:pPr>
        <w:suppressAutoHyphens/>
        <w:autoSpaceDE w:val="0"/>
        <w:spacing w:after="0" w:line="480" w:lineRule="auto"/>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4. Participants’ Intonational Patterns in Non-Interrogative Tone Units</w:t>
      </w:r>
    </w:p>
    <w:p w14:paraId="029EFC6B" w14:textId="35295DB8" w:rsidR="004139E1" w:rsidRDefault="00C53D0D">
      <w:pPr>
        <w:spacing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There were </w:t>
      </w:r>
      <w:commentRangeStart w:id="19"/>
      <w:r>
        <w:rPr>
          <w:rFonts w:ascii="Times New Roman" w:eastAsia="Times New Roman" w:hAnsi="Times New Roman" w:cs="Times New Roman"/>
          <w:sz w:val="24"/>
          <w:szCs w:val="24"/>
          <w:lang w:eastAsia="ar-SA"/>
        </w:rPr>
        <w:t xml:space="preserve">41 non-interrogative tone units produced by </w:t>
      </w:r>
      <w:r w:rsidR="0098181A">
        <w:rPr>
          <w:rFonts w:ascii="Times New Roman" w:eastAsia="Times New Roman" w:hAnsi="Times New Roman" w:cs="Times New Roman"/>
          <w:sz w:val="24"/>
          <w:szCs w:val="24"/>
          <w:lang w:eastAsia="ar-SA"/>
        </w:rPr>
        <w:t xml:space="preserve">the </w:t>
      </w:r>
      <w:r>
        <w:rPr>
          <w:rFonts w:ascii="Times New Roman" w:eastAsia="Times New Roman" w:hAnsi="Times New Roman" w:cs="Times New Roman"/>
          <w:sz w:val="24"/>
          <w:szCs w:val="24"/>
          <w:lang w:eastAsia="ar-SA"/>
        </w:rPr>
        <w:t>participants at different sessions.</w:t>
      </w:r>
      <w:commentRangeEnd w:id="19"/>
      <w:r w:rsidR="0098181A">
        <w:rPr>
          <w:rStyle w:val="CommentReference"/>
        </w:rPr>
        <w:commentReference w:id="19"/>
      </w:r>
      <w:r>
        <w:rPr>
          <w:rFonts w:ascii="Times New Roman" w:eastAsia="Times New Roman" w:hAnsi="Times New Roman" w:cs="Times New Roman"/>
          <w:sz w:val="24"/>
          <w:szCs w:val="24"/>
          <w:lang w:eastAsia="ar-SA"/>
        </w:rPr>
        <w:t xml:space="preserve"> While 10 were produced with the referring tune, the proclaiming tune was used on </w:t>
      </w:r>
      <w:r w:rsidR="00AE6F20">
        <w:rPr>
          <w:rFonts w:ascii="Times New Roman" w:eastAsia="Times New Roman" w:hAnsi="Times New Roman" w:cs="Times New Roman"/>
          <w:sz w:val="24"/>
          <w:szCs w:val="24"/>
          <w:lang w:eastAsia="ar-SA"/>
        </w:rPr>
        <w:t xml:space="preserve">the </w:t>
      </w:r>
      <w:r>
        <w:rPr>
          <w:rFonts w:ascii="Times New Roman" w:eastAsia="Times New Roman" w:hAnsi="Times New Roman" w:cs="Times New Roman"/>
          <w:sz w:val="24"/>
          <w:szCs w:val="24"/>
          <w:lang w:eastAsia="ar-SA"/>
        </w:rPr>
        <w:t xml:space="preserve">remaining 31 tone units. </w:t>
      </w:r>
      <w:commentRangeStart w:id="20"/>
      <w:r>
        <w:rPr>
          <w:rFonts w:ascii="Times New Roman" w:hAnsi="Times New Roman" w:cs="Times New Roman"/>
          <w:sz w:val="24"/>
          <w:szCs w:val="24"/>
        </w:rPr>
        <w:t>Nigerian federal legislators seem to conform to DI in their patterns of tunes, especially in non-interrogative tone units.</w:t>
      </w:r>
      <w:commentRangeEnd w:id="20"/>
      <w:r w:rsidR="0098181A">
        <w:rPr>
          <w:rStyle w:val="CommentReference"/>
        </w:rPr>
        <w:commentReference w:id="20"/>
      </w:r>
      <w:r>
        <w:rPr>
          <w:rFonts w:ascii="Times New Roman" w:hAnsi="Times New Roman" w:cs="Times New Roman"/>
          <w:sz w:val="24"/>
          <w:szCs w:val="24"/>
        </w:rPr>
        <w:t xml:space="preserve"> While sixteen participants demonstrated total conformity to DI, five performed on </w:t>
      </w:r>
      <w:r w:rsidR="0098181A">
        <w:rPr>
          <w:rFonts w:ascii="Times New Roman" w:hAnsi="Times New Roman" w:cs="Times New Roman"/>
          <w:sz w:val="24"/>
          <w:szCs w:val="24"/>
        </w:rPr>
        <w:t>the</w:t>
      </w:r>
      <w:r>
        <w:rPr>
          <w:rFonts w:ascii="Times New Roman" w:hAnsi="Times New Roman" w:cs="Times New Roman"/>
          <w:sz w:val="24"/>
          <w:szCs w:val="24"/>
        </w:rPr>
        <w:t xml:space="preserve"> exact average. It should also be added that 100% proclaiming tune was used in  six excerpts (Excerpts 1A, 3A, 3H, 4C, 4E &amp; 6A); 100% referring tune was recorded in four excerpts (Excerpts 3B, 3I, 4G, &amp; 4I); </w:t>
      </w:r>
      <w:commentRangeStart w:id="21"/>
      <w:r>
        <w:rPr>
          <w:rFonts w:ascii="Times New Roman" w:hAnsi="Times New Roman" w:cs="Times New Roman"/>
          <w:sz w:val="24"/>
          <w:szCs w:val="24"/>
        </w:rPr>
        <w:t xml:space="preserve">50%  </w:t>
      </w:r>
      <w:r w:rsidR="00AB0B8F">
        <w:rPr>
          <w:rFonts w:ascii="Times New Roman" w:hAnsi="Times New Roman" w:cs="Times New Roman"/>
          <w:sz w:val="24"/>
          <w:szCs w:val="24"/>
        </w:rPr>
        <w:t>of</w:t>
      </w:r>
      <w:r>
        <w:rPr>
          <w:rFonts w:ascii="Times New Roman" w:hAnsi="Times New Roman" w:cs="Times New Roman"/>
          <w:sz w:val="24"/>
          <w:szCs w:val="24"/>
        </w:rPr>
        <w:t xml:space="preserve"> both tunes was recorded in</w:t>
      </w:r>
      <w:commentRangeEnd w:id="21"/>
      <w:r w:rsidR="00AB0B8F">
        <w:rPr>
          <w:rStyle w:val="CommentReference"/>
        </w:rPr>
        <w:commentReference w:id="21"/>
      </w:r>
      <w:r>
        <w:rPr>
          <w:rFonts w:ascii="Times New Roman" w:hAnsi="Times New Roman" w:cs="Times New Roman"/>
          <w:sz w:val="24"/>
          <w:szCs w:val="24"/>
        </w:rPr>
        <w:t xml:space="preserve"> (Excerpts 2A, 3D, 3E, 4A, 4B, 4F &amp; 6B), and </w:t>
      </w:r>
      <w:commentRangeStart w:id="22"/>
      <w:r>
        <w:rPr>
          <w:rFonts w:ascii="Times New Roman" w:hAnsi="Times New Roman" w:cs="Times New Roman"/>
          <w:sz w:val="24"/>
          <w:szCs w:val="24"/>
        </w:rPr>
        <w:t>33.3% proclaiming and 66.6% referring were recorded in</w:t>
      </w:r>
      <w:commentRangeEnd w:id="22"/>
      <w:r w:rsidR="00AB0B8F">
        <w:rPr>
          <w:rStyle w:val="CommentReference"/>
        </w:rPr>
        <w:commentReference w:id="22"/>
      </w:r>
      <w:r>
        <w:rPr>
          <w:rFonts w:ascii="Times New Roman" w:hAnsi="Times New Roman" w:cs="Times New Roman"/>
          <w:sz w:val="24"/>
          <w:szCs w:val="24"/>
        </w:rPr>
        <w:t xml:space="preserve"> (Excerpts 3C, 3G, &amp; 4D).</w:t>
      </w:r>
    </w:p>
    <w:p w14:paraId="284653BD"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First, complete compliance was noticed in some excerpts where participants used the proclaiming tune, referring tune or even both to either provide new information or establish common ground. The choice of proclaiming tune in the two non-interrogative tone units with both the non-sentence-final and sentence-final positions in 1A aligns with DI. The participant here made an announcement, and the information was regarded as new.</w:t>
      </w:r>
    </w:p>
    <w:p w14:paraId="2D073C5A"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Figure 1: </w:t>
      </w:r>
      <w:commentRangeStart w:id="23"/>
      <w:r>
        <w:rPr>
          <w:rFonts w:ascii="Times New Roman" w:hAnsi="Times New Roman" w:cs="Times New Roman"/>
          <w:b/>
          <w:sz w:val="24"/>
          <w:szCs w:val="24"/>
        </w:rPr>
        <w:t>Excerpt 1A</w:t>
      </w:r>
      <w:commentRangeEnd w:id="23"/>
      <w:r w:rsidR="00AB0B8F">
        <w:rPr>
          <w:rStyle w:val="CommentReference"/>
        </w:rPr>
        <w:commentReference w:id="23"/>
      </w:r>
    </w:p>
    <w:p w14:paraId="09A30624" w14:textId="77777777" w:rsidR="004139E1" w:rsidRDefault="00C53D0D">
      <w:pPr>
        <w:spacing w:line="240" w:lineRule="auto"/>
        <w:ind w:left="1440"/>
        <w:jc w:val="both"/>
        <w:rPr>
          <w:rFonts w:ascii="Times New Roman" w:hAnsi="Times New Roman" w:cs="Times New Roman"/>
          <w:sz w:val="24"/>
          <w:szCs w:val="24"/>
        </w:rPr>
      </w:pPr>
      <w:r>
        <w:rPr>
          <w:rFonts w:ascii="Times New Roman" w:hAnsi="Times New Roman" w:cs="Times New Roman"/>
          <w:noProof/>
          <w:sz w:val="24"/>
          <w:szCs w:val="24"/>
          <w:lang w:eastAsia="en-GB"/>
        </w:rPr>
        <w:lastRenderedPageBreak/>
        <w:drawing>
          <wp:inline distT="0" distB="0" distL="0" distR="0" wp14:anchorId="4F50083F" wp14:editId="4C5946F5">
            <wp:extent cx="4562475" cy="2364105"/>
            <wp:effectExtent l="0" t="0" r="9525"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Picture 25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562475" cy="2364105"/>
                    </a:xfrm>
                    <a:prstGeom prst="rect">
                      <a:avLst/>
                    </a:prstGeom>
                    <a:noFill/>
                    <a:ln>
                      <a:noFill/>
                    </a:ln>
                  </pic:spPr>
                </pic:pic>
              </a:graphicData>
            </a:graphic>
          </wp:inline>
        </w:drawing>
      </w:r>
    </w:p>
    <w:p w14:paraId="4E2F4475"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p</w:t>
      </w:r>
      <w:r>
        <w:rPr>
          <w:rFonts w:ascii="Times New Roman" w:hAnsi="Times New Roman" w:cs="Times New Roman"/>
          <w:sz w:val="24"/>
          <w:szCs w:val="24"/>
        </w:rPr>
        <w:t xml:space="preserve"> rules and procedures Thursday 26th/ </w:t>
      </w:r>
      <w:r>
        <w:rPr>
          <w:rFonts w:ascii="Times New Roman" w:hAnsi="Times New Roman" w:cs="Times New Roman"/>
          <w:i/>
          <w:sz w:val="24"/>
          <w:szCs w:val="24"/>
        </w:rPr>
        <w:t xml:space="preserve">p </w:t>
      </w:r>
      <w:r>
        <w:rPr>
          <w:rFonts w:ascii="Times New Roman" w:hAnsi="Times New Roman" w:cs="Times New Roman"/>
          <w:sz w:val="24"/>
          <w:szCs w:val="24"/>
        </w:rPr>
        <w:t>April 2018 is hereby approved//</w:t>
      </w:r>
    </w:p>
    <w:p w14:paraId="06620AE2"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2: Excerpt 4C</w:t>
      </w:r>
    </w:p>
    <w:p w14:paraId="7A48336D"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noProof/>
          <w:sz w:val="24"/>
          <w:szCs w:val="24"/>
          <w:lang w:eastAsia="en-GB"/>
        </w:rPr>
        <w:drawing>
          <wp:inline distT="0" distB="0" distL="0" distR="0" wp14:anchorId="1803F854" wp14:editId="6B5A6164">
            <wp:extent cx="4056380" cy="2710180"/>
            <wp:effectExtent l="0" t="0" r="127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Picture 25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4057493" cy="2710974"/>
                    </a:xfrm>
                    <a:prstGeom prst="rect">
                      <a:avLst/>
                    </a:prstGeom>
                    <a:noFill/>
                    <a:ln>
                      <a:noFill/>
                    </a:ln>
                  </pic:spPr>
                </pic:pic>
              </a:graphicData>
            </a:graphic>
          </wp:inline>
        </w:drawing>
      </w:r>
    </w:p>
    <w:p w14:paraId="3EE9C6B2" w14:textId="77777777" w:rsidR="004139E1" w:rsidRDefault="00C53D0D">
      <w:pPr>
        <w:spacing w:line="240" w:lineRule="auto"/>
        <w:ind w:left="2160"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p</w:t>
      </w:r>
      <w:r>
        <w:rPr>
          <w:rFonts w:ascii="Times New Roman" w:hAnsi="Times New Roman" w:cs="Times New Roman"/>
          <w:sz w:val="24"/>
          <w:szCs w:val="24"/>
        </w:rPr>
        <w:t xml:space="preserve"> I am not against this bill/ </w:t>
      </w:r>
      <w:r>
        <w:rPr>
          <w:rFonts w:ascii="Times New Roman" w:hAnsi="Times New Roman" w:cs="Times New Roman"/>
          <w:i/>
          <w:sz w:val="24"/>
          <w:szCs w:val="24"/>
        </w:rPr>
        <w:t>p</w:t>
      </w:r>
      <w:r>
        <w:rPr>
          <w:rFonts w:ascii="Times New Roman" w:hAnsi="Times New Roman" w:cs="Times New Roman"/>
          <w:sz w:val="24"/>
          <w:szCs w:val="24"/>
        </w:rPr>
        <w:t xml:space="preserve"> I must repeat myself//</w:t>
      </w:r>
    </w:p>
    <w:p w14:paraId="29787C4C" w14:textId="74904FF1" w:rsidR="004139E1" w:rsidRDefault="00C53D0D">
      <w:pPr>
        <w:spacing w:line="240" w:lineRule="auto"/>
        <w:jc w:val="both"/>
        <w:rPr>
          <w:rFonts w:ascii="Times New Roman" w:hAnsi="Times New Roman" w:cs="Times New Roman"/>
          <w:sz w:val="24"/>
          <w:szCs w:val="24"/>
        </w:rPr>
      </w:pPr>
      <w:commentRangeStart w:id="24"/>
      <w:r>
        <w:rPr>
          <w:rFonts w:ascii="Times New Roman" w:hAnsi="Times New Roman" w:cs="Times New Roman"/>
          <w:sz w:val="24"/>
          <w:szCs w:val="24"/>
        </w:rPr>
        <w:t xml:space="preserve">Similarly, the utterance in Excerpt 4C has two tone units, and the two tone units were produced in a proclaiming tune. This was </w:t>
      </w:r>
      <w:r w:rsidR="00E74104">
        <w:rPr>
          <w:rFonts w:ascii="Times New Roman" w:hAnsi="Times New Roman" w:cs="Times New Roman"/>
          <w:sz w:val="24"/>
          <w:szCs w:val="24"/>
        </w:rPr>
        <w:t>hugely in conformity to</w:t>
      </w:r>
      <w:r>
        <w:rPr>
          <w:rFonts w:ascii="Times New Roman" w:hAnsi="Times New Roman" w:cs="Times New Roman"/>
          <w:sz w:val="24"/>
          <w:szCs w:val="24"/>
        </w:rPr>
        <w:t xml:space="preserve"> DI; the participant expressed his personal opinion with the two tone units. Both the tone unit at the sentence-final and the one at the non-sentence-final positions were produced in the proclaiming tune.</w:t>
      </w:r>
      <w:commentRangeEnd w:id="24"/>
      <w:r w:rsidR="00E74104">
        <w:rPr>
          <w:rStyle w:val="CommentReference"/>
        </w:rPr>
        <w:commentReference w:id="24"/>
      </w:r>
    </w:p>
    <w:p w14:paraId="0E453D17"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3: Excerpt 3A</w:t>
      </w:r>
    </w:p>
    <w:p w14:paraId="114547CB" w14:textId="77777777" w:rsidR="004139E1" w:rsidRDefault="00C53D0D">
      <w:pPr>
        <w:spacing w:line="240" w:lineRule="auto"/>
        <w:ind w:left="1440"/>
        <w:jc w:val="both"/>
        <w:rPr>
          <w:rFonts w:ascii="Times New Roman" w:hAnsi="Times New Roman" w:cs="Times New Roman"/>
          <w:sz w:val="24"/>
          <w:szCs w:val="24"/>
        </w:rPr>
      </w:pPr>
      <w:r>
        <w:rPr>
          <w:rFonts w:ascii="Times New Roman" w:hAnsi="Times New Roman" w:cs="Times New Roman"/>
          <w:noProof/>
          <w:sz w:val="24"/>
          <w:szCs w:val="24"/>
          <w:lang w:eastAsia="en-GB"/>
        </w:rPr>
        <w:lastRenderedPageBreak/>
        <w:drawing>
          <wp:inline distT="0" distB="0" distL="0" distR="0" wp14:anchorId="05571FFC" wp14:editId="7A72B453">
            <wp:extent cx="4346575" cy="2573655"/>
            <wp:effectExtent l="0" t="0" r="0" b="0"/>
            <wp:docPr id="250" name="Picture 250" descr="Rogidi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Picture 250" descr="Rogidi 1"/>
                    <pic:cNvPicPr>
                      <a:picLocks noChangeAspect="1" noChangeArrowheads="1"/>
                    </pic:cNvPicPr>
                  </pic:nvPicPr>
                  <pic:blipFill>
                    <a:blip r:embed="rId12" cstate="print">
                      <a:extLst>
                        <a:ext uri="{28A0092B-C50C-407E-A947-70E740481C1C}">
                          <a14:useLocalDpi xmlns:a14="http://schemas.microsoft.com/office/drawing/2010/main" val="0"/>
                        </a:ext>
                      </a:extLst>
                    </a:blip>
                    <a:srcRect l="7254" t="14973" r="8598" b="12328"/>
                    <a:stretch>
                      <a:fillRect/>
                    </a:stretch>
                  </pic:blipFill>
                  <pic:spPr>
                    <a:xfrm>
                      <a:off x="0" y="0"/>
                      <a:ext cx="4347286" cy="2574016"/>
                    </a:xfrm>
                    <a:prstGeom prst="rect">
                      <a:avLst/>
                    </a:prstGeom>
                    <a:noFill/>
                    <a:ln>
                      <a:noFill/>
                    </a:ln>
                  </pic:spPr>
                </pic:pic>
              </a:graphicData>
            </a:graphic>
          </wp:inline>
        </w:drawing>
      </w:r>
    </w:p>
    <w:p w14:paraId="29DFDF36" w14:textId="77777777" w:rsidR="004139E1" w:rsidRDefault="00C53D0D">
      <w:pPr>
        <w:spacing w:line="240" w:lineRule="auto"/>
        <w:ind w:left="2160"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 xml:space="preserve">p </w:t>
      </w:r>
      <w:r>
        <w:rPr>
          <w:rFonts w:ascii="Times New Roman" w:hAnsi="Times New Roman" w:cs="Times New Roman"/>
          <w:sz w:val="24"/>
          <w:szCs w:val="24"/>
        </w:rPr>
        <w:t>the only thing that we can draw from on this//</w:t>
      </w:r>
    </w:p>
    <w:p w14:paraId="0C82D165"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4: Excerpt 3A (II)</w:t>
      </w:r>
    </w:p>
    <w:p w14:paraId="11A7BAB4"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lang w:eastAsia="en-GB"/>
        </w:rPr>
        <w:drawing>
          <wp:inline distT="0" distB="0" distL="0" distR="0" wp14:anchorId="1D7CD3AF" wp14:editId="58D19A0B">
            <wp:extent cx="5056505" cy="2037080"/>
            <wp:effectExtent l="0" t="0" r="0" b="1270"/>
            <wp:docPr id="249" name="Picture 249" descr="Rogidi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Picture 249" descr="Rogidi 2"/>
                    <pic:cNvPicPr>
                      <a:picLocks noChangeAspect="1" noChangeArrowheads="1"/>
                    </pic:cNvPicPr>
                  </pic:nvPicPr>
                  <pic:blipFill>
                    <a:blip r:embed="rId13" cstate="print">
                      <a:extLst>
                        <a:ext uri="{28A0092B-C50C-407E-A947-70E740481C1C}">
                          <a14:useLocalDpi xmlns:a14="http://schemas.microsoft.com/office/drawing/2010/main" val="0"/>
                        </a:ext>
                      </a:extLst>
                    </a:blip>
                    <a:srcRect l="8098" t="16142" r="9109" b="23621"/>
                    <a:stretch>
                      <a:fillRect/>
                    </a:stretch>
                  </pic:blipFill>
                  <pic:spPr>
                    <a:xfrm>
                      <a:off x="0" y="0"/>
                      <a:ext cx="5063167" cy="2040081"/>
                    </a:xfrm>
                    <a:prstGeom prst="rect">
                      <a:avLst/>
                    </a:prstGeom>
                    <a:noFill/>
                    <a:ln>
                      <a:noFill/>
                    </a:ln>
                  </pic:spPr>
                </pic:pic>
              </a:graphicData>
            </a:graphic>
          </wp:inline>
        </w:drawing>
      </w:r>
    </w:p>
    <w:p w14:paraId="6AB248E8" w14:textId="77777777" w:rsidR="004139E1" w:rsidRDefault="00C53D0D">
      <w:pPr>
        <w:spacing w:line="240" w:lineRule="auto"/>
        <w:ind w:left="288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 xml:space="preserve">p </w:t>
      </w:r>
      <w:r>
        <w:rPr>
          <w:rFonts w:ascii="Times New Roman" w:hAnsi="Times New Roman" w:cs="Times New Roman"/>
          <w:sz w:val="24"/>
          <w:szCs w:val="24"/>
        </w:rPr>
        <w:t>is that we call on you//</w:t>
      </w:r>
    </w:p>
    <w:p w14:paraId="54A3CAFD" w14:textId="2DB029AB"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In Excerpt 3A, the two tone units were produced with the proclaiming tune. The participant used the proclaiming tune on both the non-sentence-final tone unit and the sentence-final one. Using the proclaiming tune on both tone units here suggest</w:t>
      </w:r>
      <w:r w:rsidR="00806BD4" w:rsidRPr="00806BD4">
        <w:rPr>
          <w:rFonts w:ascii="Times New Roman" w:hAnsi="Times New Roman" w:cs="Times New Roman"/>
          <w:color w:val="FF0000"/>
          <w:sz w:val="24"/>
          <w:szCs w:val="24"/>
        </w:rPr>
        <w:t>[s]</w:t>
      </w:r>
      <w:r>
        <w:rPr>
          <w:rFonts w:ascii="Times New Roman" w:hAnsi="Times New Roman" w:cs="Times New Roman"/>
          <w:sz w:val="24"/>
          <w:szCs w:val="24"/>
        </w:rPr>
        <w:t xml:space="preserve"> that their </w:t>
      </w:r>
      <w:r w:rsidR="00806BD4" w:rsidRPr="00806BD4">
        <w:rPr>
          <w:rFonts w:ascii="Times New Roman" w:hAnsi="Times New Roman" w:cs="Times New Roman"/>
          <w:color w:val="FF0000"/>
          <w:sz w:val="24"/>
          <w:szCs w:val="24"/>
        </w:rPr>
        <w:t>[pieces of]</w:t>
      </w:r>
      <w:r w:rsidR="00806BD4">
        <w:rPr>
          <w:rFonts w:ascii="Times New Roman" w:hAnsi="Times New Roman" w:cs="Times New Roman"/>
          <w:sz w:val="24"/>
          <w:szCs w:val="24"/>
        </w:rPr>
        <w:t xml:space="preserve"> </w:t>
      </w:r>
      <w:r>
        <w:rPr>
          <w:rFonts w:ascii="Times New Roman" w:hAnsi="Times New Roman" w:cs="Times New Roman"/>
          <w:sz w:val="24"/>
          <w:szCs w:val="24"/>
        </w:rPr>
        <w:t xml:space="preserve">information </w:t>
      </w:r>
      <w:r w:rsidR="00806BD4">
        <w:rPr>
          <w:rFonts w:ascii="Times New Roman" w:hAnsi="Times New Roman" w:cs="Times New Roman"/>
          <w:sz w:val="24"/>
          <w:szCs w:val="24"/>
        </w:rPr>
        <w:t>were</w:t>
      </w:r>
      <w:r>
        <w:rPr>
          <w:rFonts w:ascii="Times New Roman" w:hAnsi="Times New Roman" w:cs="Times New Roman"/>
          <w:sz w:val="24"/>
          <w:szCs w:val="24"/>
        </w:rPr>
        <w:t xml:space="preserve"> newly introduced to the context of interaction. Of course, in the debate, this participant said something different from earlier submissions; he suggested invoking a provision for the impeachment of the President. Thus, the choice of proclaiming tune here is in accordance with DI.</w:t>
      </w:r>
    </w:p>
    <w:p w14:paraId="2AAF3C87"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5: Excerpt 4A</w:t>
      </w:r>
    </w:p>
    <w:p w14:paraId="1FB1E11C"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noProof/>
          <w:sz w:val="24"/>
          <w:szCs w:val="24"/>
          <w:lang w:eastAsia="en-GB"/>
        </w:rPr>
        <w:lastRenderedPageBreak/>
        <w:drawing>
          <wp:inline distT="0" distB="0" distL="0" distR="0" wp14:anchorId="7C0F7E0C" wp14:editId="79637B55">
            <wp:extent cx="3416935" cy="2015490"/>
            <wp:effectExtent l="0" t="0" r="0" b="3810"/>
            <wp:docPr id="248" name="Picture 248" descr="JE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Picture 248" descr="JEFF"/>
                    <pic:cNvPicPr>
                      <a:picLocks noChangeAspect="1" noChangeArrowheads="1"/>
                    </pic:cNvPicPr>
                  </pic:nvPicPr>
                  <pic:blipFill>
                    <a:blip r:embed="rId14" cstate="print">
                      <a:extLst>
                        <a:ext uri="{28A0092B-C50C-407E-A947-70E740481C1C}">
                          <a14:useLocalDpi xmlns:a14="http://schemas.microsoft.com/office/drawing/2010/main" val="0"/>
                        </a:ext>
                      </a:extLst>
                    </a:blip>
                    <a:srcRect l="4135" t="13850" r="5740" b="9789"/>
                    <a:stretch>
                      <a:fillRect/>
                    </a:stretch>
                  </pic:blipFill>
                  <pic:spPr>
                    <a:xfrm>
                      <a:off x="0" y="0"/>
                      <a:ext cx="3475852" cy="2050738"/>
                    </a:xfrm>
                    <a:prstGeom prst="rect">
                      <a:avLst/>
                    </a:prstGeom>
                    <a:noFill/>
                    <a:ln>
                      <a:noFill/>
                    </a:ln>
                  </pic:spPr>
                </pic:pic>
              </a:graphicData>
            </a:graphic>
          </wp:inline>
        </w:drawing>
      </w:r>
    </w:p>
    <w:p w14:paraId="0615AF64" w14:textId="77777777" w:rsidR="004139E1" w:rsidRDefault="00C53D0D">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 xml:space="preserve">r </w:t>
      </w:r>
      <w:r>
        <w:rPr>
          <w:rFonts w:ascii="Times New Roman" w:hAnsi="Times New Roman" w:cs="Times New Roman"/>
          <w:sz w:val="24"/>
          <w:szCs w:val="24"/>
        </w:rPr>
        <w:t>in the same spirit that we passed this bill in the first place/</w:t>
      </w:r>
      <w:r>
        <w:rPr>
          <w:rFonts w:ascii="Times New Roman" w:hAnsi="Times New Roman" w:cs="Times New Roman"/>
          <w:i/>
          <w:sz w:val="24"/>
          <w:szCs w:val="24"/>
        </w:rPr>
        <w:t xml:space="preserve">p </w:t>
      </w:r>
      <w:r>
        <w:rPr>
          <w:rFonts w:ascii="Times New Roman" w:hAnsi="Times New Roman" w:cs="Times New Roman"/>
          <w:sz w:val="24"/>
          <w:szCs w:val="24"/>
        </w:rPr>
        <w:t>to once again pass it//</w:t>
      </w:r>
    </w:p>
    <w:p w14:paraId="08F635FF"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This utterance was meant to remind other legislators that the bill had been passed before and to appeal that it should be passed again. The participant here, therefore, used both the referring and the proclaiming tune respectively. The choice of tune on the first tone unit is suitable, according to DI and so also is the choice of tune on the second tone unit giving the new information. It is important to mention here that the tone unit carrying the referring tune is non-sentence final and the one produced with the proclaiming tune is sentence-final.</w:t>
      </w:r>
    </w:p>
    <w:p w14:paraId="6882209F"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6: Excerpt 2A</w:t>
      </w:r>
    </w:p>
    <w:p w14:paraId="632A5B50"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noProof/>
          <w:sz w:val="24"/>
          <w:szCs w:val="24"/>
          <w:lang w:eastAsia="en-GB"/>
        </w:rPr>
        <w:drawing>
          <wp:inline distT="0" distB="0" distL="0" distR="0" wp14:anchorId="787F5826" wp14:editId="486595C7">
            <wp:extent cx="4513580" cy="2150110"/>
            <wp:effectExtent l="0" t="0" r="1270" b="2540"/>
            <wp:docPr id="242" name="Picture 242" descr="Tinubu2 r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Picture 242" descr="Tinubu2 rise"/>
                    <pic:cNvPicPr>
                      <a:picLocks noChangeAspect="1" noChangeArrowheads="1"/>
                    </pic:cNvPicPr>
                  </pic:nvPicPr>
                  <pic:blipFill>
                    <a:blip r:embed="rId15" cstate="print">
                      <a:extLst>
                        <a:ext uri="{28A0092B-C50C-407E-A947-70E740481C1C}">
                          <a14:useLocalDpi xmlns:a14="http://schemas.microsoft.com/office/drawing/2010/main" val="0"/>
                        </a:ext>
                      </a:extLst>
                    </a:blip>
                    <a:srcRect l="6839" t="14574" r="8493" b="12251"/>
                    <a:stretch>
                      <a:fillRect/>
                    </a:stretch>
                  </pic:blipFill>
                  <pic:spPr>
                    <a:xfrm>
                      <a:off x="0" y="0"/>
                      <a:ext cx="4513580" cy="2150110"/>
                    </a:xfrm>
                    <a:prstGeom prst="rect">
                      <a:avLst/>
                    </a:prstGeom>
                    <a:noFill/>
                    <a:ln>
                      <a:noFill/>
                    </a:ln>
                  </pic:spPr>
                </pic:pic>
              </a:graphicData>
            </a:graphic>
          </wp:inline>
        </w:drawing>
      </w:r>
    </w:p>
    <w:p w14:paraId="6AFDE6F3" w14:textId="77777777" w:rsidR="004139E1" w:rsidRDefault="00C53D0D">
      <w:pPr>
        <w:spacing w:line="240" w:lineRule="auto"/>
        <w:ind w:left="216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r</w:t>
      </w:r>
      <w:r>
        <w:rPr>
          <w:rFonts w:ascii="Times New Roman" w:hAnsi="Times New Roman" w:cs="Times New Roman"/>
          <w:sz w:val="24"/>
          <w:szCs w:val="24"/>
        </w:rPr>
        <w:t xml:space="preserve"> beloved son in whom you are well pleased//</w:t>
      </w:r>
    </w:p>
    <w:p w14:paraId="2991DEC8"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7: Excerpt 2A</w:t>
      </w:r>
    </w:p>
    <w:p w14:paraId="5C1C64B6" w14:textId="77777777" w:rsidR="004139E1" w:rsidRDefault="00C53D0D">
      <w:pPr>
        <w:spacing w:line="240" w:lineRule="auto"/>
        <w:ind w:left="1440"/>
        <w:jc w:val="both"/>
        <w:rPr>
          <w:rFonts w:ascii="Times New Roman" w:hAnsi="Times New Roman" w:cs="Times New Roman"/>
          <w:sz w:val="24"/>
          <w:szCs w:val="24"/>
        </w:rPr>
      </w:pPr>
      <w:r>
        <w:rPr>
          <w:rFonts w:ascii="Times New Roman" w:hAnsi="Times New Roman" w:cs="Times New Roman"/>
          <w:noProof/>
          <w:sz w:val="24"/>
          <w:szCs w:val="24"/>
          <w:lang w:eastAsia="en-GB"/>
        </w:rPr>
        <w:lastRenderedPageBreak/>
        <w:drawing>
          <wp:inline distT="0" distB="0" distL="0" distR="0" wp14:anchorId="7C2FC363" wp14:editId="4F67B3D6">
            <wp:extent cx="4504055" cy="2305685"/>
            <wp:effectExtent l="0" t="0" r="0" b="0"/>
            <wp:docPr id="241" name="Picture 241" descr="Tinubu3 f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Picture 241" descr="Tinubu3 fall"/>
                    <pic:cNvPicPr>
                      <a:picLocks noChangeAspect="1" noChangeArrowheads="1"/>
                    </pic:cNvPicPr>
                  </pic:nvPicPr>
                  <pic:blipFill>
                    <a:blip r:embed="rId16" cstate="print">
                      <a:extLst>
                        <a:ext uri="{28A0092B-C50C-407E-A947-70E740481C1C}">
                          <a14:useLocalDpi xmlns:a14="http://schemas.microsoft.com/office/drawing/2010/main" val="0"/>
                        </a:ext>
                      </a:extLst>
                    </a:blip>
                    <a:srcRect l="7576" t="15002" r="8771" b="12071"/>
                    <a:stretch>
                      <a:fillRect/>
                    </a:stretch>
                  </pic:blipFill>
                  <pic:spPr>
                    <a:xfrm>
                      <a:off x="0" y="0"/>
                      <a:ext cx="4504055" cy="2305685"/>
                    </a:xfrm>
                    <a:prstGeom prst="rect">
                      <a:avLst/>
                    </a:prstGeom>
                    <a:noFill/>
                    <a:ln>
                      <a:noFill/>
                    </a:ln>
                  </pic:spPr>
                </pic:pic>
              </a:graphicData>
            </a:graphic>
          </wp:inline>
        </w:drawing>
      </w:r>
    </w:p>
    <w:p w14:paraId="485093F3" w14:textId="77777777" w:rsidR="004139E1" w:rsidRDefault="00C53D0D">
      <w:pPr>
        <w:spacing w:line="240" w:lineRule="auto"/>
        <w:ind w:left="288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p</w:t>
      </w:r>
      <w:r>
        <w:rPr>
          <w:rFonts w:ascii="Times New Roman" w:hAnsi="Times New Roman" w:cs="Times New Roman"/>
          <w:sz w:val="24"/>
          <w:szCs w:val="24"/>
        </w:rPr>
        <w:t xml:space="preserve"> I so second//</w:t>
      </w:r>
    </w:p>
    <w:p w14:paraId="5648B874" w14:textId="5A825152"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In the first tone unit, the speaker alludes to a popular quote in the Bible and uses this to remind others of the shared knowledge. Therefore, the selection of</w:t>
      </w:r>
      <w:r w:rsidR="001539DB">
        <w:rPr>
          <w:rFonts w:ascii="Times New Roman" w:hAnsi="Times New Roman" w:cs="Times New Roman"/>
          <w:sz w:val="24"/>
          <w:szCs w:val="24"/>
        </w:rPr>
        <w:t xml:space="preserve"> a referring tune here conforms</w:t>
      </w:r>
      <w:r>
        <w:rPr>
          <w:rFonts w:ascii="Times New Roman" w:hAnsi="Times New Roman" w:cs="Times New Roman"/>
          <w:sz w:val="24"/>
          <w:szCs w:val="24"/>
        </w:rPr>
        <w:t xml:space="preserve"> to DI; it was used to bring to remembrance that the legislator called to move the motion was the Speaker’s favourite. Further, in the second tone unit, the </w:t>
      </w:r>
      <w:commentRangeStart w:id="25"/>
      <w:r>
        <w:rPr>
          <w:rFonts w:ascii="Times New Roman" w:hAnsi="Times New Roman" w:cs="Times New Roman"/>
          <w:sz w:val="24"/>
          <w:szCs w:val="24"/>
        </w:rPr>
        <w:t>speaker</w:t>
      </w:r>
      <w:commentRangeEnd w:id="25"/>
      <w:r w:rsidR="001539DB">
        <w:rPr>
          <w:rStyle w:val="CommentReference"/>
        </w:rPr>
        <w:commentReference w:id="25"/>
      </w:r>
      <w:r>
        <w:rPr>
          <w:rFonts w:ascii="Times New Roman" w:hAnsi="Times New Roman" w:cs="Times New Roman"/>
          <w:sz w:val="24"/>
          <w:szCs w:val="24"/>
        </w:rPr>
        <w:t xml:space="preserve"> draws her conclusion with a proclaiming tune. The participant expressed her support for a motion earlier moved; her use of the proclaiming tune here conforms to the provision of DI. Although the motion has been moved earlier, she brought fresh insights to the interactional context before she proceeded to support the motion.</w:t>
      </w:r>
    </w:p>
    <w:p w14:paraId="3ED9188D"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8: Excerpt 3B</w:t>
      </w:r>
    </w:p>
    <w:p w14:paraId="298FADF8"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lang w:eastAsia="en-GB"/>
        </w:rPr>
        <w:drawing>
          <wp:inline distT="0" distB="0" distL="0" distR="0" wp14:anchorId="586AF0C8" wp14:editId="19A412E8">
            <wp:extent cx="4679315" cy="2704465"/>
            <wp:effectExtent l="0" t="0" r="6985" b="63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Picture 24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4679315" cy="2704465"/>
                    </a:xfrm>
                    <a:prstGeom prst="rect">
                      <a:avLst/>
                    </a:prstGeom>
                    <a:noFill/>
                    <a:ln>
                      <a:noFill/>
                    </a:ln>
                  </pic:spPr>
                </pic:pic>
              </a:graphicData>
            </a:graphic>
          </wp:inline>
        </w:drawing>
      </w:r>
      <w:r>
        <w:rPr>
          <w:rFonts w:ascii="Times New Roman" w:hAnsi="Times New Roman" w:cs="Times New Roman"/>
          <w:sz w:val="24"/>
          <w:szCs w:val="24"/>
        </w:rPr>
        <w:t xml:space="preserve"> </w:t>
      </w:r>
    </w:p>
    <w:p w14:paraId="0811C748" w14:textId="77777777" w:rsidR="004139E1" w:rsidRDefault="00C53D0D">
      <w:pPr>
        <w:spacing w:line="240" w:lineRule="auto"/>
        <w:ind w:left="2160"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 xml:space="preserve">r </w:t>
      </w:r>
      <w:r>
        <w:rPr>
          <w:rFonts w:ascii="Times New Roman" w:hAnsi="Times New Roman" w:cs="Times New Roman"/>
          <w:sz w:val="24"/>
          <w:szCs w:val="24"/>
        </w:rPr>
        <w:t xml:space="preserve">so I RISE/ </w:t>
      </w:r>
      <w:r>
        <w:rPr>
          <w:rFonts w:ascii="Times New Roman" w:hAnsi="Times New Roman" w:cs="Times New Roman"/>
          <w:i/>
          <w:sz w:val="24"/>
          <w:szCs w:val="24"/>
        </w:rPr>
        <w:t xml:space="preserve">r </w:t>
      </w:r>
      <w:r>
        <w:rPr>
          <w:rFonts w:ascii="Times New Roman" w:hAnsi="Times New Roman" w:cs="Times New Roman"/>
          <w:sz w:val="24"/>
          <w:szCs w:val="24"/>
        </w:rPr>
        <w:t>and SUPport this Motion//</w:t>
      </w:r>
    </w:p>
    <w:p w14:paraId="2D16D3DF"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Participant 3B’s utterance has three pre-sentence final tone units. The first two tone units selected were uttered in the referring </w:t>
      </w:r>
      <w:commentRangeStart w:id="26"/>
      <w:r>
        <w:rPr>
          <w:rFonts w:ascii="Times New Roman" w:hAnsi="Times New Roman" w:cs="Times New Roman"/>
          <w:sz w:val="24"/>
          <w:szCs w:val="24"/>
        </w:rPr>
        <w:t>tone</w:t>
      </w:r>
      <w:commentRangeEnd w:id="26"/>
      <w:r w:rsidR="001539DB">
        <w:rPr>
          <w:rStyle w:val="CommentReference"/>
        </w:rPr>
        <w:commentReference w:id="26"/>
      </w:r>
      <w:r>
        <w:rPr>
          <w:rFonts w:ascii="Times New Roman" w:hAnsi="Times New Roman" w:cs="Times New Roman"/>
          <w:sz w:val="24"/>
          <w:szCs w:val="24"/>
        </w:rPr>
        <w:t>. The participant was contributing to the common ground; thus, his choice of the referring tone is appropriate and aligns with DI.</w:t>
      </w:r>
    </w:p>
    <w:p w14:paraId="5FCAED1F"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9: Excerpt 3E</w:t>
      </w:r>
    </w:p>
    <w:p w14:paraId="06F7B9AC"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eastAsia="Times New Roman" w:hAnsi="Times New Roman" w:cs="Times New Roman"/>
          <w:noProof/>
          <w:sz w:val="24"/>
          <w:szCs w:val="24"/>
          <w:lang w:eastAsia="en-GB"/>
        </w:rPr>
        <w:lastRenderedPageBreak/>
        <w:drawing>
          <wp:inline distT="0" distB="0" distL="0" distR="0" wp14:anchorId="4676177C" wp14:editId="3B6FDBA5">
            <wp:extent cx="4893310" cy="1887220"/>
            <wp:effectExtent l="0" t="0" r="2540" b="0"/>
            <wp:docPr id="245" name="Picture 245" descr="Sam Ayaun 3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Picture 245" descr="Sam Ayaun 3d1"/>
                    <pic:cNvPicPr>
                      <a:picLocks noChangeAspect="1" noChangeArrowheads="1"/>
                    </pic:cNvPicPr>
                  </pic:nvPicPr>
                  <pic:blipFill>
                    <a:blip r:embed="rId18" cstate="print">
                      <a:extLst>
                        <a:ext uri="{28A0092B-C50C-407E-A947-70E740481C1C}">
                          <a14:useLocalDpi xmlns:a14="http://schemas.microsoft.com/office/drawing/2010/main" val="0"/>
                        </a:ext>
                      </a:extLst>
                    </a:blip>
                    <a:srcRect l="3822" t="11047" r="5344" b="10626"/>
                    <a:stretch>
                      <a:fillRect/>
                    </a:stretch>
                  </pic:blipFill>
                  <pic:spPr>
                    <a:xfrm>
                      <a:off x="0" y="0"/>
                      <a:ext cx="4893310" cy="1887220"/>
                    </a:xfrm>
                    <a:prstGeom prst="rect">
                      <a:avLst/>
                    </a:prstGeom>
                    <a:noFill/>
                    <a:ln>
                      <a:noFill/>
                    </a:ln>
                  </pic:spPr>
                </pic:pic>
              </a:graphicData>
            </a:graphic>
          </wp:inline>
        </w:drawing>
      </w:r>
    </w:p>
    <w:p w14:paraId="689AB52D" w14:textId="77777777" w:rsidR="004139E1" w:rsidRDefault="00C53D0D">
      <w:pPr>
        <w:spacing w:line="240" w:lineRule="auto"/>
        <w:ind w:left="288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r</w:t>
      </w:r>
      <w:r>
        <w:rPr>
          <w:rFonts w:ascii="Times New Roman" w:hAnsi="Times New Roman" w:cs="Times New Roman"/>
          <w:sz w:val="24"/>
          <w:szCs w:val="24"/>
        </w:rPr>
        <w:t xml:space="preserve"> Issue of mentioning of PDP/ </w:t>
      </w:r>
      <w:r>
        <w:rPr>
          <w:rFonts w:ascii="Times New Roman" w:hAnsi="Times New Roman" w:cs="Times New Roman"/>
          <w:i/>
          <w:sz w:val="24"/>
          <w:szCs w:val="24"/>
        </w:rPr>
        <w:t xml:space="preserve">p </w:t>
      </w:r>
      <w:r>
        <w:rPr>
          <w:rFonts w:ascii="Times New Roman" w:hAnsi="Times New Roman" w:cs="Times New Roman"/>
          <w:sz w:val="24"/>
          <w:szCs w:val="24"/>
        </w:rPr>
        <w:t>is wrong//</w:t>
      </w:r>
    </w:p>
    <w:p w14:paraId="12257A4F"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The participant in excerpt 3E appropriately used the referring tune on the tone unit which agrees with the common ground and a proclaiming tune on the new information. The utterance was preluded by a submission of another federal legislator’s submission. In 3E’s opinion, the first tone unit refers to the preluded submission while the latter tone unit shares his view.</w:t>
      </w:r>
    </w:p>
    <w:p w14:paraId="42D1DEF3"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10: Excerpt 4G</w:t>
      </w:r>
    </w:p>
    <w:p w14:paraId="0862D73D" w14:textId="77777777" w:rsidR="004139E1" w:rsidRDefault="00C53D0D">
      <w:pPr>
        <w:spacing w:line="240" w:lineRule="auto"/>
        <w:ind w:left="1440"/>
        <w:jc w:val="both"/>
        <w:rPr>
          <w:rFonts w:ascii="Times New Roman" w:hAnsi="Times New Roman" w:cs="Times New Roman"/>
          <w:sz w:val="24"/>
          <w:szCs w:val="24"/>
        </w:rPr>
      </w:pPr>
      <w:r>
        <w:rPr>
          <w:rFonts w:ascii="Times New Roman" w:hAnsi="Times New Roman" w:cs="Times New Roman"/>
          <w:noProof/>
          <w:sz w:val="24"/>
          <w:szCs w:val="24"/>
          <w:lang w:eastAsia="en-GB"/>
        </w:rPr>
        <w:drawing>
          <wp:inline distT="0" distB="0" distL="0" distR="0" wp14:anchorId="4D4A1C7C" wp14:editId="2F33AF31">
            <wp:extent cx="4669155" cy="2152650"/>
            <wp:effectExtent l="0" t="0" r="0" b="0"/>
            <wp:docPr id="244" name="Picture 244" descr="Rita Orji l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Picture 244" descr="Rita Orji long"/>
                    <pic:cNvPicPr>
                      <a:picLocks noChangeAspect="1" noChangeArrowheads="1"/>
                    </pic:cNvPicPr>
                  </pic:nvPicPr>
                  <pic:blipFill>
                    <a:blip r:embed="rId19" cstate="print">
                      <a:extLst>
                        <a:ext uri="{28A0092B-C50C-407E-A947-70E740481C1C}">
                          <a14:useLocalDpi xmlns:a14="http://schemas.microsoft.com/office/drawing/2010/main" val="0"/>
                        </a:ext>
                      </a:extLst>
                    </a:blip>
                    <a:srcRect l="6003" t="13145" r="8359" b="12189"/>
                    <a:stretch>
                      <a:fillRect/>
                    </a:stretch>
                  </pic:blipFill>
                  <pic:spPr>
                    <a:xfrm>
                      <a:off x="0" y="0"/>
                      <a:ext cx="4686917" cy="2160990"/>
                    </a:xfrm>
                    <a:prstGeom prst="rect">
                      <a:avLst/>
                    </a:prstGeom>
                    <a:noFill/>
                    <a:ln>
                      <a:noFill/>
                    </a:ln>
                  </pic:spPr>
                </pic:pic>
              </a:graphicData>
            </a:graphic>
          </wp:inline>
        </w:drawing>
      </w:r>
    </w:p>
    <w:p w14:paraId="52E7F329" w14:textId="77777777" w:rsidR="004139E1" w:rsidRDefault="00C53D0D">
      <w:pPr>
        <w:spacing w:line="240" w:lineRule="auto"/>
        <w:ind w:left="720" w:firstLine="720"/>
        <w:jc w:val="both"/>
        <w:rPr>
          <w:rFonts w:ascii="Times New Roman" w:hAnsi="Times New Roman" w:cs="Times New Roman"/>
          <w:i/>
          <w:sz w:val="24"/>
          <w:szCs w:val="24"/>
        </w:rPr>
      </w:pPr>
      <w:r>
        <w:rPr>
          <w:rFonts w:ascii="Times New Roman" w:hAnsi="Times New Roman" w:cs="Times New Roman"/>
          <w:sz w:val="24"/>
          <w:szCs w:val="24"/>
        </w:rPr>
        <w:t>//</w:t>
      </w:r>
      <w:r>
        <w:rPr>
          <w:rFonts w:ascii="Times New Roman" w:hAnsi="Times New Roman" w:cs="Times New Roman"/>
          <w:i/>
          <w:sz w:val="24"/>
          <w:szCs w:val="24"/>
        </w:rPr>
        <w:t xml:space="preserve">p </w:t>
      </w:r>
      <w:r>
        <w:rPr>
          <w:rFonts w:ascii="Times New Roman" w:hAnsi="Times New Roman" w:cs="Times New Roman"/>
          <w:sz w:val="24"/>
          <w:szCs w:val="24"/>
        </w:rPr>
        <w:t xml:space="preserve">If this is going to make peace in your domain/ </w:t>
      </w:r>
      <w:r>
        <w:rPr>
          <w:rFonts w:ascii="Times New Roman" w:hAnsi="Times New Roman" w:cs="Times New Roman"/>
          <w:i/>
          <w:sz w:val="24"/>
          <w:szCs w:val="24"/>
        </w:rPr>
        <w:t>p</w:t>
      </w:r>
      <w:r>
        <w:rPr>
          <w:rFonts w:ascii="Times New Roman" w:hAnsi="Times New Roman" w:cs="Times New Roman"/>
          <w:sz w:val="24"/>
          <w:szCs w:val="24"/>
        </w:rPr>
        <w:t xml:space="preserve"> as the name connotes//</w:t>
      </w:r>
    </w:p>
    <w:p w14:paraId="276847FC" w14:textId="42F087DE"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The tone units here were said using the proclaiming tune. It suffices to add that the two tone units are non-sentence-final tone units; thus, the choice of such a tune on them calls for attention. Uttering the first tone unit with a proclaiming tune is in accord with the DI because the first tone unit, although a subordinate clause, provides new information. But placing the same tune on the second t</w:t>
      </w:r>
      <w:r w:rsidR="00326190">
        <w:rPr>
          <w:rFonts w:ascii="Times New Roman" w:hAnsi="Times New Roman" w:cs="Times New Roman"/>
          <w:sz w:val="24"/>
          <w:szCs w:val="24"/>
        </w:rPr>
        <w:t>one unit does not conform to</w:t>
      </w:r>
      <w:r>
        <w:rPr>
          <w:rFonts w:ascii="Times New Roman" w:hAnsi="Times New Roman" w:cs="Times New Roman"/>
          <w:sz w:val="24"/>
          <w:szCs w:val="24"/>
        </w:rPr>
        <w:t xml:space="preserve"> DI as the tone unit provides a </w:t>
      </w:r>
      <w:commentRangeStart w:id="27"/>
      <w:r>
        <w:rPr>
          <w:rFonts w:ascii="Times New Roman" w:hAnsi="Times New Roman" w:cs="Times New Roman"/>
          <w:sz w:val="24"/>
          <w:szCs w:val="24"/>
        </w:rPr>
        <w:t>piece of information</w:t>
      </w:r>
      <w:commentRangeEnd w:id="27"/>
      <w:r w:rsidR="00326190">
        <w:rPr>
          <w:rStyle w:val="CommentReference"/>
        </w:rPr>
        <w:commentReference w:id="27"/>
      </w:r>
      <w:r>
        <w:rPr>
          <w:rFonts w:ascii="Times New Roman" w:hAnsi="Times New Roman" w:cs="Times New Roman"/>
          <w:sz w:val="24"/>
          <w:szCs w:val="24"/>
        </w:rPr>
        <w:t xml:space="preserve"> already existing in the context of interaction and it is therefore expected that it is said in a referring tune. Using a proclaiming tune on the latter tone unit which is sentence-final tone unit suggests that the choice of the participant is hugely guided by the grammatical rules of intonation.</w:t>
      </w:r>
    </w:p>
    <w:p w14:paraId="669E4B16"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11: Excerpt 3C</w:t>
      </w:r>
    </w:p>
    <w:p w14:paraId="61B38234"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lang w:eastAsia="en-GB"/>
        </w:rPr>
        <w:lastRenderedPageBreak/>
        <w:drawing>
          <wp:inline distT="0" distB="0" distL="0" distR="0" wp14:anchorId="6CD4C516" wp14:editId="3999D87A">
            <wp:extent cx="4513580" cy="2207895"/>
            <wp:effectExtent l="0" t="0" r="1270" b="190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Picture 243"/>
                    <pic:cNvPicPr>
                      <a:picLocks noChangeAspect="1" noChangeArrowheads="1"/>
                    </pic:cNvPicPr>
                  </pic:nvPicPr>
                  <pic:blipFill>
                    <a:blip r:embed="rId20">
                      <a:extLst>
                        <a:ext uri="{28A0092B-C50C-407E-A947-70E740481C1C}">
                          <a14:useLocalDpi xmlns:a14="http://schemas.microsoft.com/office/drawing/2010/main" val="0"/>
                        </a:ext>
                      </a:extLst>
                    </a:blip>
                    <a:srcRect l="4025" t="4831" b="2995"/>
                    <a:stretch>
                      <a:fillRect/>
                    </a:stretch>
                  </pic:blipFill>
                  <pic:spPr>
                    <a:xfrm>
                      <a:off x="0" y="0"/>
                      <a:ext cx="4513580" cy="2207895"/>
                    </a:xfrm>
                    <a:prstGeom prst="rect">
                      <a:avLst/>
                    </a:prstGeom>
                    <a:noFill/>
                    <a:ln>
                      <a:noFill/>
                    </a:ln>
                  </pic:spPr>
                </pic:pic>
              </a:graphicData>
            </a:graphic>
          </wp:inline>
        </w:drawing>
      </w:r>
    </w:p>
    <w:p w14:paraId="3E96DE5B"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p</w:t>
      </w:r>
      <w:r>
        <w:rPr>
          <w:rFonts w:ascii="Times New Roman" w:hAnsi="Times New Roman" w:cs="Times New Roman"/>
          <w:sz w:val="24"/>
          <w:szCs w:val="24"/>
        </w:rPr>
        <w:t xml:space="preserve"> I DO not think we should impeach the PREsident //</w:t>
      </w:r>
    </w:p>
    <w:p w14:paraId="3CDD1E41"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Before this utterance was produced, the previous speaker lends support to another legislator who already moved for the impeachment of the president. However, this participant drove the argument to another side. The proclaiming tune was deployed in producing the only non-interrogative tone unit in excerpt 3C. This non-sentence-final tone unit is a contribution to an ongoing argument at the plenary and this choice of proclaiming tune makes the participant conform to DI.</w:t>
      </w:r>
    </w:p>
    <w:p w14:paraId="09DE6B40"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12: Excerpt 6A</w:t>
      </w:r>
    </w:p>
    <w:p w14:paraId="34C51C3D"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lang w:eastAsia="en-GB"/>
        </w:rPr>
        <w:drawing>
          <wp:inline distT="0" distB="0" distL="0" distR="0" wp14:anchorId="5E1280FB" wp14:editId="06EB1406">
            <wp:extent cx="5166995" cy="2296795"/>
            <wp:effectExtent l="0" t="0" r="0" b="8255"/>
            <wp:docPr id="240" name="Picture 240" descr="ChukwuEmekaEnug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Picture 240" descr="ChukwuEmekaEnugu"/>
                    <pic:cNvPicPr>
                      <a:picLocks noChangeAspect="1" noChangeArrowheads="1"/>
                    </pic:cNvPicPr>
                  </pic:nvPicPr>
                  <pic:blipFill>
                    <a:blip r:embed="rId21" cstate="print">
                      <a:extLst>
                        <a:ext uri="{28A0092B-C50C-407E-A947-70E740481C1C}">
                          <a14:useLocalDpi xmlns:a14="http://schemas.microsoft.com/office/drawing/2010/main" val="0"/>
                        </a:ext>
                      </a:extLst>
                    </a:blip>
                    <a:srcRect l="7275" t="14290" b="10039"/>
                    <a:stretch>
                      <a:fillRect/>
                    </a:stretch>
                  </pic:blipFill>
                  <pic:spPr>
                    <a:xfrm>
                      <a:off x="0" y="0"/>
                      <a:ext cx="5178938" cy="2301833"/>
                    </a:xfrm>
                    <a:prstGeom prst="rect">
                      <a:avLst/>
                    </a:prstGeom>
                    <a:noFill/>
                    <a:ln>
                      <a:noFill/>
                    </a:ln>
                  </pic:spPr>
                </pic:pic>
              </a:graphicData>
            </a:graphic>
          </wp:inline>
        </w:drawing>
      </w:r>
    </w:p>
    <w:p w14:paraId="08D92D86"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 xml:space="preserve">p </w:t>
      </w:r>
      <w:r>
        <w:rPr>
          <w:rFonts w:ascii="Times New Roman" w:hAnsi="Times New Roman" w:cs="Times New Roman"/>
          <w:sz w:val="24"/>
          <w:szCs w:val="24"/>
        </w:rPr>
        <w:t>So maybe we should look at rewording that section//</w:t>
      </w:r>
    </w:p>
    <w:p w14:paraId="0EB42D99" w14:textId="09ED4325"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The lone tone unit in this utterance expresses the speaker’s suggestion and contribution. Therefore, deploying a proclaimi</w:t>
      </w:r>
      <w:r w:rsidR="00FB1F62">
        <w:rPr>
          <w:rFonts w:ascii="Times New Roman" w:hAnsi="Times New Roman" w:cs="Times New Roman"/>
          <w:sz w:val="24"/>
          <w:szCs w:val="24"/>
        </w:rPr>
        <w:t>ng tune here is in line with</w:t>
      </w:r>
      <w:r>
        <w:rPr>
          <w:rFonts w:ascii="Times New Roman" w:hAnsi="Times New Roman" w:cs="Times New Roman"/>
          <w:sz w:val="24"/>
          <w:szCs w:val="24"/>
        </w:rPr>
        <w:t xml:space="preserve"> DI. However, we should also add that the tone unit is a sentence-final one.</w:t>
      </w:r>
    </w:p>
    <w:p w14:paraId="3145F7BC"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13: Excerpt 3G</w:t>
      </w:r>
    </w:p>
    <w:p w14:paraId="643DC721"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lang w:eastAsia="en-GB"/>
        </w:rPr>
        <w:lastRenderedPageBreak/>
        <w:drawing>
          <wp:inline distT="0" distB="0" distL="0" distR="0" wp14:anchorId="036BE0CE" wp14:editId="5C9C0245">
            <wp:extent cx="4620895" cy="2227580"/>
            <wp:effectExtent l="0" t="0" r="8255" b="1270"/>
            <wp:docPr id="239" name="Picture 239" descr="Adokw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Picture 239" descr="Adokwe 2"/>
                    <pic:cNvPicPr>
                      <a:picLocks noChangeAspect="1" noChangeArrowheads="1"/>
                    </pic:cNvPicPr>
                  </pic:nvPicPr>
                  <pic:blipFill>
                    <a:blip r:embed="rId22" cstate="print">
                      <a:extLst>
                        <a:ext uri="{28A0092B-C50C-407E-A947-70E740481C1C}">
                          <a14:useLocalDpi xmlns:a14="http://schemas.microsoft.com/office/drawing/2010/main" val="0"/>
                        </a:ext>
                      </a:extLst>
                    </a:blip>
                    <a:srcRect l="7158" t="17204" r="8122"/>
                    <a:stretch>
                      <a:fillRect/>
                    </a:stretch>
                  </pic:blipFill>
                  <pic:spPr>
                    <a:xfrm>
                      <a:off x="0" y="0"/>
                      <a:ext cx="4620895" cy="2227580"/>
                    </a:xfrm>
                    <a:prstGeom prst="rect">
                      <a:avLst/>
                    </a:prstGeom>
                    <a:noFill/>
                    <a:ln>
                      <a:noFill/>
                    </a:ln>
                  </pic:spPr>
                </pic:pic>
              </a:graphicData>
            </a:graphic>
          </wp:inline>
        </w:drawing>
      </w:r>
    </w:p>
    <w:p w14:paraId="310D230B"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r</w:t>
      </w:r>
      <w:r>
        <w:rPr>
          <w:rFonts w:ascii="Times New Roman" w:hAnsi="Times New Roman" w:cs="Times New Roman"/>
          <w:sz w:val="24"/>
          <w:szCs w:val="24"/>
        </w:rPr>
        <w:t xml:space="preserve"> that the Nigerian Government which includes all of us//</w:t>
      </w:r>
    </w:p>
    <w:p w14:paraId="60061F9B" w14:textId="0DA828F5"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This tone unit is a non-sentence-final and it expresses a shared knowledge. The participant referred to all the Nigerian federal legislators as part of the Nigerian government, and this is a known fact. Thus, the use of the referri</w:t>
      </w:r>
      <w:r w:rsidR="00FB1F62">
        <w:rPr>
          <w:rFonts w:ascii="Times New Roman" w:hAnsi="Times New Roman" w:cs="Times New Roman"/>
          <w:sz w:val="24"/>
          <w:szCs w:val="24"/>
        </w:rPr>
        <w:t>ng tune here is in line with</w:t>
      </w:r>
      <w:r>
        <w:rPr>
          <w:rFonts w:ascii="Times New Roman" w:hAnsi="Times New Roman" w:cs="Times New Roman"/>
          <w:sz w:val="24"/>
          <w:szCs w:val="24"/>
        </w:rPr>
        <w:t xml:space="preserve"> DI. </w:t>
      </w:r>
      <w:commentRangeStart w:id="28"/>
      <w:r>
        <w:rPr>
          <w:rFonts w:ascii="Times New Roman" w:hAnsi="Times New Roman" w:cs="Times New Roman"/>
          <w:sz w:val="24"/>
          <w:szCs w:val="24"/>
        </w:rPr>
        <w:t>However, since the tone</w:t>
      </w:r>
      <w:r w:rsidR="00FB1F62">
        <w:rPr>
          <w:rFonts w:ascii="Times New Roman" w:hAnsi="Times New Roman" w:cs="Times New Roman"/>
          <w:sz w:val="24"/>
          <w:szCs w:val="24"/>
        </w:rPr>
        <w:t xml:space="preserve"> unit</w:t>
      </w:r>
      <w:r>
        <w:rPr>
          <w:rFonts w:ascii="Times New Roman" w:hAnsi="Times New Roman" w:cs="Times New Roman"/>
          <w:sz w:val="24"/>
          <w:szCs w:val="24"/>
        </w:rPr>
        <w:t xml:space="preserve"> is a non-sentence-final one, it becomes too early to conclude.</w:t>
      </w:r>
      <w:commentRangeEnd w:id="28"/>
      <w:r w:rsidR="00FB1F62">
        <w:rPr>
          <w:rStyle w:val="CommentReference"/>
        </w:rPr>
        <w:commentReference w:id="28"/>
      </w:r>
    </w:p>
    <w:p w14:paraId="65F76981"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14: Excerpt 3G</w:t>
      </w:r>
    </w:p>
    <w:p w14:paraId="5F975ECA"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noProof/>
          <w:sz w:val="24"/>
          <w:szCs w:val="24"/>
          <w:lang w:eastAsia="en-GB"/>
        </w:rPr>
        <w:drawing>
          <wp:inline distT="0" distB="0" distL="0" distR="0" wp14:anchorId="680FFD30" wp14:editId="4870F866">
            <wp:extent cx="4513580" cy="1893570"/>
            <wp:effectExtent l="0" t="0" r="1270" b="0"/>
            <wp:docPr id="238" name="Picture 238" descr="Adokw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Picture 238" descr="Adokwe 3"/>
                    <pic:cNvPicPr>
                      <a:picLocks noChangeAspect="1" noChangeArrowheads="1"/>
                    </pic:cNvPicPr>
                  </pic:nvPicPr>
                  <pic:blipFill>
                    <a:blip r:embed="rId23" cstate="print">
                      <a:extLst>
                        <a:ext uri="{28A0092B-C50C-407E-A947-70E740481C1C}">
                          <a14:useLocalDpi xmlns:a14="http://schemas.microsoft.com/office/drawing/2010/main" val="0"/>
                        </a:ext>
                      </a:extLst>
                    </a:blip>
                    <a:srcRect l="7156" t="14391" r="8905" b="11961"/>
                    <a:stretch>
                      <a:fillRect/>
                    </a:stretch>
                  </pic:blipFill>
                  <pic:spPr>
                    <a:xfrm>
                      <a:off x="0" y="0"/>
                      <a:ext cx="4520795" cy="1896627"/>
                    </a:xfrm>
                    <a:prstGeom prst="rect">
                      <a:avLst/>
                    </a:prstGeom>
                    <a:noFill/>
                    <a:ln>
                      <a:noFill/>
                    </a:ln>
                  </pic:spPr>
                </pic:pic>
              </a:graphicData>
            </a:graphic>
          </wp:inline>
        </w:drawing>
      </w:r>
    </w:p>
    <w:p w14:paraId="4D1C5EEC"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p</w:t>
      </w:r>
      <w:r>
        <w:rPr>
          <w:rFonts w:ascii="Times New Roman" w:hAnsi="Times New Roman" w:cs="Times New Roman"/>
          <w:sz w:val="24"/>
          <w:szCs w:val="24"/>
        </w:rPr>
        <w:t xml:space="preserve"> come up with a clear-cut strategy to deal with what is going on// </w:t>
      </w:r>
    </w:p>
    <w:p w14:paraId="54726105" w14:textId="4665A8A4"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sentence-final tune </w:t>
      </w:r>
      <w:r w:rsidR="002B21DC">
        <w:rPr>
          <w:rFonts w:ascii="Times New Roman" w:hAnsi="Times New Roman" w:cs="Times New Roman"/>
          <w:sz w:val="24"/>
          <w:szCs w:val="24"/>
        </w:rPr>
        <w:t>in Figure 14 below</w:t>
      </w:r>
      <w:r>
        <w:rPr>
          <w:rFonts w:ascii="Times New Roman" w:hAnsi="Times New Roman" w:cs="Times New Roman"/>
          <w:sz w:val="24"/>
          <w:szCs w:val="24"/>
        </w:rPr>
        <w:t xml:space="preserve"> has a proclaiming tune. This choice is appropriate since the speaker shares a personal opinion which is new in the interactional context.</w:t>
      </w:r>
    </w:p>
    <w:p w14:paraId="4300DC20" w14:textId="42D91570"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On the other hand, average conformity to DI was recorded in three excerpts as mentioned earlier (Excerpts 4E, 4F, and 6B). In 4E, </w:t>
      </w:r>
      <w:commentRangeStart w:id="29"/>
      <w:r>
        <w:rPr>
          <w:rFonts w:ascii="Times New Roman" w:hAnsi="Times New Roman" w:cs="Times New Roman"/>
          <w:sz w:val="24"/>
          <w:szCs w:val="24"/>
        </w:rPr>
        <w:t xml:space="preserve">the participant did not introduce something new to the context of interaction with the first </w:t>
      </w:r>
      <w:r w:rsidR="002B21DC">
        <w:rPr>
          <w:rFonts w:ascii="Times New Roman" w:hAnsi="Times New Roman" w:cs="Times New Roman"/>
          <w:sz w:val="24"/>
          <w:szCs w:val="24"/>
        </w:rPr>
        <w:t xml:space="preserve">tone </w:t>
      </w:r>
      <w:r>
        <w:rPr>
          <w:rFonts w:ascii="Times New Roman" w:hAnsi="Times New Roman" w:cs="Times New Roman"/>
          <w:sz w:val="24"/>
          <w:szCs w:val="24"/>
        </w:rPr>
        <w:t>unit</w:t>
      </w:r>
      <w:commentRangeEnd w:id="29"/>
      <w:r w:rsidR="00C65435">
        <w:rPr>
          <w:rStyle w:val="CommentReference"/>
        </w:rPr>
        <w:commentReference w:id="29"/>
      </w:r>
      <w:r w:rsidR="003245F0">
        <w:rPr>
          <w:rFonts w:ascii="Times New Roman" w:hAnsi="Times New Roman" w:cs="Times New Roman"/>
          <w:sz w:val="24"/>
          <w:szCs w:val="24"/>
        </w:rPr>
        <w:t>,</w:t>
      </w:r>
      <w:r>
        <w:rPr>
          <w:rFonts w:ascii="Times New Roman" w:hAnsi="Times New Roman" w:cs="Times New Roman"/>
          <w:sz w:val="24"/>
          <w:szCs w:val="24"/>
        </w:rPr>
        <w:t xml:space="preserve"> yet he placed a proclaiming tune on it. However,</w:t>
      </w:r>
      <w:r w:rsidR="003245F0">
        <w:rPr>
          <w:rFonts w:ascii="Times New Roman" w:hAnsi="Times New Roman" w:cs="Times New Roman"/>
          <w:sz w:val="24"/>
          <w:szCs w:val="24"/>
        </w:rPr>
        <w:t xml:space="preserve"> in</w:t>
      </w:r>
      <w:r>
        <w:rPr>
          <w:rFonts w:ascii="Times New Roman" w:hAnsi="Times New Roman" w:cs="Times New Roman"/>
          <w:sz w:val="24"/>
          <w:szCs w:val="24"/>
        </w:rPr>
        <w:t xml:space="preserve"> the second tone unit, the participant shared a personal opinion with a proclaiming tune.</w:t>
      </w:r>
    </w:p>
    <w:p w14:paraId="13099344"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15: Excerpt 4E</w:t>
      </w:r>
    </w:p>
    <w:p w14:paraId="716350CC"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lastRenderedPageBreak/>
        <w:t>-</w:t>
      </w:r>
      <w:r>
        <w:rPr>
          <w:rFonts w:ascii="Times New Roman" w:hAnsi="Times New Roman" w:cs="Times New Roman"/>
          <w:noProof/>
          <w:sz w:val="24"/>
          <w:szCs w:val="24"/>
          <w:lang w:eastAsia="en-GB"/>
        </w:rPr>
        <w:drawing>
          <wp:inline distT="0" distB="0" distL="0" distR="0" wp14:anchorId="30F6325A" wp14:editId="6FF6839B">
            <wp:extent cx="4367530" cy="2538730"/>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Picture 237"/>
                    <pic:cNvPicPr>
                      <a:picLocks noChangeAspect="1" noChangeArrowheads="1"/>
                    </pic:cNvPicPr>
                  </pic:nvPicPr>
                  <pic:blipFill>
                    <a:blip r:embed="rId24">
                      <a:extLst>
                        <a:ext uri="{28A0092B-C50C-407E-A947-70E740481C1C}">
                          <a14:useLocalDpi xmlns:a14="http://schemas.microsoft.com/office/drawing/2010/main" val="0"/>
                        </a:ext>
                      </a:extLst>
                    </a:blip>
                    <a:srcRect l="2309" r="1384" b="5957"/>
                    <a:stretch>
                      <a:fillRect/>
                    </a:stretch>
                  </pic:blipFill>
                  <pic:spPr>
                    <a:xfrm>
                      <a:off x="0" y="0"/>
                      <a:ext cx="4367530" cy="2538730"/>
                    </a:xfrm>
                    <a:prstGeom prst="rect">
                      <a:avLst/>
                    </a:prstGeom>
                    <a:noFill/>
                    <a:ln>
                      <a:noFill/>
                    </a:ln>
                  </pic:spPr>
                </pic:pic>
              </a:graphicData>
            </a:graphic>
          </wp:inline>
        </w:drawing>
      </w:r>
    </w:p>
    <w:p w14:paraId="0A1F8BB0"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16: Excerpt 4E (II)</w:t>
      </w:r>
    </w:p>
    <w:p w14:paraId="773E8FDD"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noProof/>
          <w:sz w:val="24"/>
          <w:szCs w:val="24"/>
          <w:lang w:eastAsia="en-GB"/>
        </w:rPr>
        <w:drawing>
          <wp:inline distT="0" distB="0" distL="0" distR="0" wp14:anchorId="5F23B423" wp14:editId="77C29307">
            <wp:extent cx="4348480" cy="228219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Picture 236"/>
                    <pic:cNvPicPr>
                      <a:picLocks noChangeAspect="1" noChangeArrowheads="1"/>
                    </pic:cNvPicPr>
                  </pic:nvPicPr>
                  <pic:blipFill>
                    <a:blip r:embed="rId25" cstate="print">
                      <a:extLst>
                        <a:ext uri="{28A0092B-C50C-407E-A947-70E740481C1C}">
                          <a14:useLocalDpi xmlns:a14="http://schemas.microsoft.com/office/drawing/2010/main" val="0"/>
                        </a:ext>
                      </a:extLst>
                    </a:blip>
                    <a:srcRect l="6741" t="14247" b="12097"/>
                    <a:stretch>
                      <a:fillRect/>
                    </a:stretch>
                  </pic:blipFill>
                  <pic:spPr>
                    <a:xfrm>
                      <a:off x="0" y="0"/>
                      <a:ext cx="4350885" cy="2283662"/>
                    </a:xfrm>
                    <a:prstGeom prst="rect">
                      <a:avLst/>
                    </a:prstGeom>
                    <a:noFill/>
                    <a:ln>
                      <a:noFill/>
                    </a:ln>
                  </pic:spPr>
                </pic:pic>
              </a:graphicData>
            </a:graphic>
          </wp:inline>
        </w:drawing>
      </w:r>
    </w:p>
    <w:p w14:paraId="36220294" w14:textId="77777777" w:rsidR="004139E1" w:rsidRDefault="00C53D0D">
      <w:pPr>
        <w:spacing w:line="240" w:lineRule="auto"/>
        <w:ind w:left="288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 xml:space="preserve">p </w:t>
      </w:r>
      <w:r>
        <w:rPr>
          <w:rFonts w:ascii="Times New Roman" w:hAnsi="Times New Roman" w:cs="Times New Roman"/>
          <w:sz w:val="24"/>
          <w:szCs w:val="24"/>
        </w:rPr>
        <w:t>we should consider this bill//</w:t>
      </w:r>
    </w:p>
    <w:p w14:paraId="51C9B3D1" w14:textId="0452220B"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In 6B, the two tone units have both proclaiming and referring tunes respectively. Since the initial tone unit is a non-sentence-final tone unit, the choice of a referring tune here is appropriate followi</w:t>
      </w:r>
      <w:r w:rsidR="00E91FCB">
        <w:rPr>
          <w:rFonts w:ascii="Times New Roman" w:hAnsi="Times New Roman" w:cs="Times New Roman"/>
          <w:sz w:val="24"/>
          <w:szCs w:val="24"/>
        </w:rPr>
        <w:t>ng the provisions of the</w:t>
      </w:r>
      <w:r>
        <w:rPr>
          <w:rFonts w:ascii="Times New Roman" w:hAnsi="Times New Roman" w:cs="Times New Roman"/>
          <w:sz w:val="24"/>
          <w:szCs w:val="24"/>
        </w:rPr>
        <w:t xml:space="preserve"> rule-based intonation. However, because the information in these tone units are new in the context and are also the contributions of the speaker which have not been said before, they should both have the proclaiming tune (not only on the second tone unit) according to DI. Thus, this made the tone un</w:t>
      </w:r>
      <w:r w:rsidR="00E91FCB">
        <w:rPr>
          <w:rFonts w:ascii="Times New Roman" w:hAnsi="Times New Roman" w:cs="Times New Roman"/>
          <w:sz w:val="24"/>
          <w:szCs w:val="24"/>
        </w:rPr>
        <w:t>it to be averagely in line with</w:t>
      </w:r>
      <w:r>
        <w:rPr>
          <w:rFonts w:ascii="Times New Roman" w:hAnsi="Times New Roman" w:cs="Times New Roman"/>
          <w:sz w:val="24"/>
          <w:szCs w:val="24"/>
        </w:rPr>
        <w:t xml:space="preserve"> DI. </w:t>
      </w:r>
    </w:p>
    <w:p w14:paraId="420440C7"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17: Excerpt 6B</w:t>
      </w:r>
    </w:p>
    <w:p w14:paraId="3835E2B1"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lang w:eastAsia="en-GB"/>
        </w:rPr>
        <w:lastRenderedPageBreak/>
        <w:drawing>
          <wp:inline distT="0" distB="0" distL="0" distR="0" wp14:anchorId="7E8F7E75" wp14:editId="61F345B7">
            <wp:extent cx="4949190" cy="2109470"/>
            <wp:effectExtent l="0" t="0" r="3810" b="5080"/>
            <wp:docPr id="235" name="Picture 235" descr="Abia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Picture 235" descr="Abiante"/>
                    <pic:cNvPicPr>
                      <a:picLocks noChangeAspect="1" noChangeArrowheads="1"/>
                    </pic:cNvPicPr>
                  </pic:nvPicPr>
                  <pic:blipFill>
                    <a:blip r:embed="rId26" cstate="print">
                      <a:extLst>
                        <a:ext uri="{28A0092B-C50C-407E-A947-70E740481C1C}">
                          <a14:useLocalDpi xmlns:a14="http://schemas.microsoft.com/office/drawing/2010/main" val="0"/>
                        </a:ext>
                      </a:extLst>
                    </a:blip>
                    <a:srcRect l="5011" t="14073" r="5562" b="10031"/>
                    <a:stretch>
                      <a:fillRect/>
                    </a:stretch>
                  </pic:blipFill>
                  <pic:spPr>
                    <a:xfrm>
                      <a:off x="0" y="0"/>
                      <a:ext cx="4957308" cy="2112937"/>
                    </a:xfrm>
                    <a:prstGeom prst="rect">
                      <a:avLst/>
                    </a:prstGeom>
                    <a:noFill/>
                    <a:ln>
                      <a:noFill/>
                    </a:ln>
                  </pic:spPr>
                </pic:pic>
              </a:graphicData>
            </a:graphic>
          </wp:inline>
        </w:drawing>
      </w:r>
    </w:p>
    <w:p w14:paraId="06467653"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r</w:t>
      </w:r>
      <w:r>
        <w:rPr>
          <w:rFonts w:ascii="Times New Roman" w:hAnsi="Times New Roman" w:cs="Times New Roman"/>
          <w:sz w:val="24"/>
          <w:szCs w:val="24"/>
        </w:rPr>
        <w:t xml:space="preserve"> I will suggest that they take peace organisation back/</w:t>
      </w:r>
      <w:r>
        <w:rPr>
          <w:rFonts w:ascii="Times New Roman" w:hAnsi="Times New Roman" w:cs="Times New Roman"/>
          <w:i/>
          <w:sz w:val="24"/>
          <w:szCs w:val="24"/>
        </w:rPr>
        <w:t>p</w:t>
      </w:r>
      <w:r>
        <w:rPr>
          <w:rFonts w:ascii="Times New Roman" w:hAnsi="Times New Roman" w:cs="Times New Roman"/>
          <w:sz w:val="24"/>
          <w:szCs w:val="24"/>
        </w:rPr>
        <w:t xml:space="preserve"> and do a holistic review/</w:t>
      </w:r>
    </w:p>
    <w:p w14:paraId="5835EF58"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18: Excerpt 3D</w:t>
      </w:r>
    </w:p>
    <w:p w14:paraId="282BEEB8"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lang w:eastAsia="en-GB"/>
        </w:rPr>
        <w:drawing>
          <wp:inline distT="0" distB="0" distL="0" distR="0" wp14:anchorId="4CC65705" wp14:editId="700536FA">
            <wp:extent cx="5048250" cy="2015490"/>
            <wp:effectExtent l="0" t="0" r="0" b="3810"/>
            <wp:docPr id="234" name="Picture 234" descr="Abdul Ibrah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Picture 234" descr="Abdul Ibrahim 3"/>
                    <pic:cNvPicPr>
                      <a:picLocks noChangeAspect="1" noChangeArrowheads="1"/>
                    </pic:cNvPicPr>
                  </pic:nvPicPr>
                  <pic:blipFill>
                    <a:blip r:embed="rId27" cstate="print">
                      <a:extLst>
                        <a:ext uri="{28A0092B-C50C-407E-A947-70E740481C1C}">
                          <a14:useLocalDpi xmlns:a14="http://schemas.microsoft.com/office/drawing/2010/main" val="0"/>
                        </a:ext>
                      </a:extLst>
                    </a:blip>
                    <a:srcRect l="7941" t="13382" r="8609" b="13310"/>
                    <a:stretch>
                      <a:fillRect/>
                    </a:stretch>
                  </pic:blipFill>
                  <pic:spPr>
                    <a:xfrm>
                      <a:off x="0" y="0"/>
                      <a:ext cx="5056894" cy="2019452"/>
                    </a:xfrm>
                    <a:prstGeom prst="rect">
                      <a:avLst/>
                    </a:prstGeom>
                    <a:noFill/>
                    <a:ln>
                      <a:noFill/>
                    </a:ln>
                  </pic:spPr>
                </pic:pic>
              </a:graphicData>
            </a:graphic>
          </wp:inline>
        </w:drawing>
      </w:r>
    </w:p>
    <w:p w14:paraId="3871C3F7"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r</w:t>
      </w:r>
      <w:r>
        <w:rPr>
          <w:rFonts w:ascii="Times New Roman" w:hAnsi="Times New Roman" w:cs="Times New Roman"/>
          <w:sz w:val="24"/>
          <w:szCs w:val="24"/>
        </w:rPr>
        <w:t xml:space="preserve"> I oppose this </w:t>
      </w:r>
      <w:commentRangeStart w:id="30"/>
      <w:r>
        <w:rPr>
          <w:rFonts w:ascii="Times New Roman" w:hAnsi="Times New Roman" w:cs="Times New Roman"/>
          <w:sz w:val="24"/>
          <w:szCs w:val="24"/>
        </w:rPr>
        <w:t>MO</w:t>
      </w:r>
      <w:commentRangeEnd w:id="30"/>
      <w:r w:rsidR="00E91FCB">
        <w:rPr>
          <w:rStyle w:val="CommentReference"/>
        </w:rPr>
        <w:commentReference w:id="30"/>
      </w:r>
      <w:r>
        <w:rPr>
          <w:rFonts w:ascii="Times New Roman" w:hAnsi="Times New Roman" w:cs="Times New Roman"/>
          <w:sz w:val="24"/>
          <w:szCs w:val="24"/>
        </w:rPr>
        <w:t>tion/</w:t>
      </w:r>
      <w:r>
        <w:rPr>
          <w:rFonts w:ascii="Times New Roman" w:hAnsi="Times New Roman" w:cs="Times New Roman"/>
          <w:i/>
          <w:sz w:val="24"/>
          <w:szCs w:val="24"/>
        </w:rPr>
        <w:t>p</w:t>
      </w:r>
      <w:r>
        <w:rPr>
          <w:rFonts w:ascii="Times New Roman" w:hAnsi="Times New Roman" w:cs="Times New Roman"/>
          <w:sz w:val="24"/>
          <w:szCs w:val="24"/>
        </w:rPr>
        <w:t xml:space="preserve"> because it’s politically MOtivated//</w:t>
      </w:r>
    </w:p>
    <w:p w14:paraId="7F779A44" w14:textId="1CABD60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Also, in excerpt 3D, the participant averagely </w:t>
      </w:r>
      <w:r w:rsidR="00E91FCB">
        <w:rPr>
          <w:rFonts w:ascii="Times New Roman" w:hAnsi="Times New Roman" w:cs="Times New Roman"/>
          <w:sz w:val="24"/>
          <w:szCs w:val="24"/>
        </w:rPr>
        <w:t>conformed to</w:t>
      </w:r>
      <w:r>
        <w:rPr>
          <w:rFonts w:ascii="Times New Roman" w:hAnsi="Times New Roman" w:cs="Times New Roman"/>
          <w:sz w:val="24"/>
          <w:szCs w:val="24"/>
        </w:rPr>
        <w:t xml:space="preserve"> DI; the</w:t>
      </w:r>
      <w:r w:rsidR="00E91FCB">
        <w:rPr>
          <w:rFonts w:ascii="Times New Roman" w:hAnsi="Times New Roman" w:cs="Times New Roman"/>
          <w:sz w:val="24"/>
          <w:szCs w:val="24"/>
        </w:rPr>
        <w:t xml:space="preserve"> two tone units in that excerpt</w:t>
      </w:r>
      <w:r>
        <w:rPr>
          <w:rFonts w:ascii="Times New Roman" w:hAnsi="Times New Roman" w:cs="Times New Roman"/>
          <w:sz w:val="24"/>
          <w:szCs w:val="24"/>
        </w:rPr>
        <w:t xml:space="preserve"> had one proclaiming tune and one referring tune respectively. Since the two tone units are new in the context of interaction, it is expected that the proclaiming tune is deployed.</w:t>
      </w:r>
    </w:p>
    <w:p w14:paraId="2A66241B"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19: Excerpt 4B</w:t>
      </w:r>
    </w:p>
    <w:p w14:paraId="2B83EDF6"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noProof/>
          <w:sz w:val="24"/>
          <w:szCs w:val="24"/>
          <w:lang w:eastAsia="en-GB"/>
        </w:rPr>
        <w:lastRenderedPageBreak/>
        <w:drawing>
          <wp:inline distT="0" distB="0" distL="0" distR="0" wp14:anchorId="131AFEB2" wp14:editId="0DA9BF78">
            <wp:extent cx="3842385" cy="2587625"/>
            <wp:effectExtent l="0" t="0" r="5715" b="3175"/>
            <wp:docPr id="233" name="Picture 233" descr="Id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Picture 233" descr="Idice"/>
                    <pic:cNvPicPr>
                      <a:picLocks noChangeAspect="1" noChangeArrowheads="1"/>
                    </pic:cNvPicPr>
                  </pic:nvPicPr>
                  <pic:blipFill>
                    <a:blip r:embed="rId28" cstate="print">
                      <a:extLst>
                        <a:ext uri="{28A0092B-C50C-407E-A947-70E740481C1C}">
                          <a14:useLocalDpi xmlns:a14="http://schemas.microsoft.com/office/drawing/2010/main" val="0"/>
                        </a:ext>
                      </a:extLst>
                    </a:blip>
                    <a:srcRect l="4344" t="10291" r="5315" b="9723"/>
                    <a:stretch>
                      <a:fillRect/>
                    </a:stretch>
                  </pic:blipFill>
                  <pic:spPr>
                    <a:xfrm>
                      <a:off x="0" y="0"/>
                      <a:ext cx="3842385" cy="2587625"/>
                    </a:xfrm>
                    <a:prstGeom prst="rect">
                      <a:avLst/>
                    </a:prstGeom>
                    <a:noFill/>
                    <a:ln>
                      <a:noFill/>
                    </a:ln>
                  </pic:spPr>
                </pic:pic>
              </a:graphicData>
            </a:graphic>
          </wp:inline>
        </w:drawing>
      </w:r>
    </w:p>
    <w:p w14:paraId="7F4CBB26" w14:textId="77777777" w:rsidR="004139E1" w:rsidRDefault="00C53D0D">
      <w:pPr>
        <w:spacing w:line="240" w:lineRule="auto"/>
        <w:ind w:left="216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 xml:space="preserve">r </w:t>
      </w:r>
      <w:r>
        <w:rPr>
          <w:rFonts w:ascii="Times New Roman" w:hAnsi="Times New Roman" w:cs="Times New Roman"/>
          <w:sz w:val="24"/>
          <w:szCs w:val="24"/>
        </w:rPr>
        <w:t xml:space="preserve">I personally/ </w:t>
      </w:r>
      <w:r>
        <w:rPr>
          <w:rFonts w:ascii="Times New Roman" w:hAnsi="Times New Roman" w:cs="Times New Roman"/>
          <w:i/>
          <w:sz w:val="24"/>
          <w:szCs w:val="24"/>
        </w:rPr>
        <w:t xml:space="preserve">r </w:t>
      </w:r>
      <w:r>
        <w:rPr>
          <w:rFonts w:ascii="Times New Roman" w:hAnsi="Times New Roman" w:cs="Times New Roman"/>
          <w:sz w:val="24"/>
          <w:szCs w:val="24"/>
        </w:rPr>
        <w:t>endorse this movement//</w:t>
      </w:r>
    </w:p>
    <w:p w14:paraId="3DB49744" w14:textId="17DB4705"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As stated earlier in this study, in DI, the referring tune is also used with disjuncts to show solidarity with other interlocutors; thus, the choice of a referring tune on the</w:t>
      </w:r>
      <w:r w:rsidR="00E91FCB">
        <w:rPr>
          <w:rFonts w:ascii="Times New Roman" w:hAnsi="Times New Roman" w:cs="Times New Roman"/>
          <w:sz w:val="24"/>
          <w:szCs w:val="24"/>
        </w:rPr>
        <w:t xml:space="preserve"> first tone unit conforms to</w:t>
      </w:r>
      <w:r>
        <w:rPr>
          <w:rFonts w:ascii="Times New Roman" w:hAnsi="Times New Roman" w:cs="Times New Roman"/>
          <w:sz w:val="24"/>
          <w:szCs w:val="24"/>
        </w:rPr>
        <w:t xml:space="preserve"> DI. However, the choice of a referring tune on the second tone unit, although a non-sentence-final tone unit, does not conform with the DI because the speaker has not shown his position about the subject of discussion before then.</w:t>
      </w:r>
    </w:p>
    <w:p w14:paraId="541BEC49" w14:textId="151037B8"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In summary, while the percentage of excerpts which are completely in accord with DI scores 76.2%, the one with average conformity has 23.8%. Thus, a vast number of Nigerian federal legislators conform to DI in their patterns on non-interrogative tone units.</w:t>
      </w:r>
      <w:bookmarkStart w:id="31" w:name="_GoBack"/>
      <w:bookmarkEnd w:id="31"/>
    </w:p>
    <w:p w14:paraId="4E448B87" w14:textId="77777777" w:rsidR="004139E1" w:rsidRDefault="004139E1">
      <w:pPr>
        <w:spacing w:line="240" w:lineRule="auto"/>
        <w:jc w:val="both"/>
        <w:rPr>
          <w:rFonts w:ascii="Times New Roman" w:hAnsi="Times New Roman" w:cs="Times New Roman"/>
          <w:sz w:val="24"/>
          <w:szCs w:val="24"/>
        </w:rPr>
      </w:pPr>
    </w:p>
    <w:p w14:paraId="36A9A02C" w14:textId="77777777" w:rsidR="004139E1" w:rsidRDefault="00C53D0D">
      <w:pPr>
        <w:spacing w:line="240" w:lineRule="auto"/>
        <w:jc w:val="both"/>
        <w:rPr>
          <w:rFonts w:ascii="Times New Roman" w:hAnsi="Times New Roman" w:cs="Times New Roman"/>
          <w:sz w:val="24"/>
          <w:szCs w:val="24"/>
        </w:rPr>
      </w:pPr>
      <w:commentRangeStart w:id="32"/>
      <w:r>
        <w:rPr>
          <w:rFonts w:ascii="Times New Roman" w:hAnsi="Times New Roman" w:cs="Times New Roman"/>
          <w:b/>
          <w:sz w:val="24"/>
          <w:szCs w:val="24"/>
        </w:rPr>
        <w:t>4.2 Analysis of Tone Units by Gender</w:t>
      </w:r>
    </w:p>
    <w:p w14:paraId="24728191"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Since the Nigerian federal legislators comprise of both male and female members, a study of their intonation patterns should distinguish tune choices made by the different gender. There are much fewer female federal legislators than male in Nigerian national assembly; there about six female senators in the 8th parliamentary administration. Excerpts 2A, 3I and 4G were produced by female participants while all other excerpts were uttered by male participants.</w:t>
      </w:r>
    </w:p>
    <w:p w14:paraId="57E15963"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There are noticeable differences in the intonation patterns of male and female Nigerian federal legislators. On the non-interrogative tone units, it was found out that female scored 80% in their choice of referring tune than the male participants who had 45.9%. Here, the female participants strictly adhered to the grammatical rules of intonation. The only proclaiming tune was used on the lone sentence-final tone unit, whereas the 4 non-sentence final tone units left were produced in the referring tune. Although the contextual influence of these tunes has earlier been discussed to be in line with DI, the recent discovery here shows that the female participants are not aware of the DI. Rather, their pattern of intonation on non-interrogative tone units is informed by the grammatical functions of intonation.</w:t>
      </w:r>
    </w:p>
    <w:p w14:paraId="7B2F1044"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Still on the non-interrogative tone units, male participants had 54.1% in their choice of proclaiming tune and 45.9% in the use of referring tune. A careful examination revealed that 18 of their non-</w:t>
      </w:r>
      <w:r>
        <w:rPr>
          <w:rFonts w:ascii="Times New Roman" w:hAnsi="Times New Roman" w:cs="Times New Roman"/>
          <w:sz w:val="24"/>
          <w:szCs w:val="24"/>
        </w:rPr>
        <w:lastRenderedPageBreak/>
        <w:t>interrogative tone units were non-sentence-final, and only two was uttered in the proclaiming tune while the rest were produced in the referring tune. Excerpts 1A and 3A, although non-sentence final, were uttered in the proclaiming tune. As discussed earlier, this choice conforms to DI. Also, on the 19 sentence-final tone units, only one (Excerpt 4D) was produced in the referring tune. Again, considering the context of this tone unit, the choice of referring tune here is in accordance with DI. Hence, the male participants demonstrated, to some extent, the knowledge of DI in their choice of tunes on non-interrogative tone units.</w:t>
      </w:r>
    </w:p>
    <w:p w14:paraId="578FF0B8"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Following the findings in this sub-section, it is not wrong to submit that there is a distinction in the patterns of English intonation of Nigerian federal legislators based on gender. While the male participants, to some extent, conform to DI, the female ones completely adhere to the grammatical rules of intonation in their choice of intonation on non-interrogative tone units. This is similar to the position of Adejuwon (2016, p. 129) that “gender, to some extent influences intonational choices”. However, on their choice of tunes on interrogative tone units, both do not have a difference; they conform to the grammatical rules.</w:t>
      </w:r>
      <w:commentRangeEnd w:id="32"/>
      <w:r w:rsidR="003D323B">
        <w:rPr>
          <w:rStyle w:val="CommentReference"/>
        </w:rPr>
        <w:commentReference w:id="32"/>
      </w:r>
    </w:p>
    <w:p w14:paraId="4812B1F6" w14:textId="77777777" w:rsidR="004139E1" w:rsidRDefault="004139E1">
      <w:pPr>
        <w:spacing w:line="240" w:lineRule="auto"/>
        <w:jc w:val="both"/>
        <w:rPr>
          <w:rFonts w:ascii="Times New Roman" w:hAnsi="Times New Roman" w:cs="Times New Roman"/>
          <w:sz w:val="24"/>
          <w:szCs w:val="24"/>
        </w:rPr>
      </w:pPr>
    </w:p>
    <w:p w14:paraId="10421285"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5. Conclusion</w:t>
      </w:r>
    </w:p>
    <w:p w14:paraId="51CD3E39" w14:textId="5C9A4A02"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From the data collated, analysed and discussed, this study found out that the English intonation patterns of the Nigerian federal legislators on non-interrogative tone units largely conform to DI. They were able to use both the referring tune and the proclaiming tune to reiterate what was already known or previously said and to contribute new information respectively.   Deploying Brazil’s Discourse Intonation in analysing the tone units of Nigerian federal legislators at plenaries has shown how they use English intonation patterns in naturally-occurring speeches. The findings of this study buttress the</w:t>
      </w:r>
      <w:r w:rsidR="00A37790">
        <w:rPr>
          <w:rFonts w:ascii="Times New Roman" w:hAnsi="Times New Roman" w:cs="Times New Roman"/>
          <w:sz w:val="24"/>
          <w:szCs w:val="24"/>
        </w:rPr>
        <w:t xml:space="preserve"> third</w:t>
      </w:r>
      <w:r>
        <w:rPr>
          <w:rFonts w:ascii="Times New Roman" w:hAnsi="Times New Roman" w:cs="Times New Roman"/>
          <w:sz w:val="24"/>
          <w:szCs w:val="24"/>
        </w:rPr>
        <w:t xml:space="preserve"> classification of Nigeri</w:t>
      </w:r>
      <w:r w:rsidR="00A37790">
        <w:rPr>
          <w:rFonts w:ascii="Times New Roman" w:hAnsi="Times New Roman" w:cs="Times New Roman"/>
          <w:sz w:val="24"/>
          <w:szCs w:val="24"/>
        </w:rPr>
        <w:t xml:space="preserve">an English by Taiwo (2012). </w:t>
      </w:r>
      <w:commentRangeStart w:id="33"/>
      <w:r w:rsidR="00A37790">
        <w:rPr>
          <w:rFonts w:ascii="Times New Roman" w:hAnsi="Times New Roman" w:cs="Times New Roman"/>
          <w:sz w:val="24"/>
          <w:szCs w:val="24"/>
        </w:rPr>
        <w:t xml:space="preserve">The </w:t>
      </w:r>
      <w:r>
        <w:rPr>
          <w:rFonts w:ascii="Times New Roman" w:hAnsi="Times New Roman" w:cs="Times New Roman"/>
          <w:sz w:val="24"/>
          <w:szCs w:val="24"/>
        </w:rPr>
        <w:t>Variety III, as classified by Taiwo (2012), constitutes a variation of Nigerian English close to RP with speakers with university education.</w:t>
      </w:r>
      <w:commentRangeEnd w:id="33"/>
      <w:r w:rsidR="00A37790">
        <w:rPr>
          <w:rStyle w:val="CommentReference"/>
        </w:rPr>
        <w:commentReference w:id="33"/>
      </w:r>
      <w:r>
        <w:rPr>
          <w:rFonts w:ascii="Times New Roman" w:hAnsi="Times New Roman" w:cs="Times New Roman"/>
          <w:sz w:val="24"/>
          <w:szCs w:val="24"/>
        </w:rPr>
        <w:t xml:space="preserve"> </w:t>
      </w:r>
      <w:commentRangeStart w:id="34"/>
      <w:r>
        <w:rPr>
          <w:rFonts w:ascii="Times New Roman" w:hAnsi="Times New Roman" w:cs="Times New Roman"/>
          <w:sz w:val="24"/>
          <w:szCs w:val="24"/>
        </w:rPr>
        <w:t>Majority of the participants of this study hold at least a university degree</w:t>
      </w:r>
      <w:commentRangeEnd w:id="34"/>
      <w:r w:rsidR="00A37790">
        <w:rPr>
          <w:rStyle w:val="CommentReference"/>
        </w:rPr>
        <w:commentReference w:id="34"/>
      </w:r>
      <w:r>
        <w:rPr>
          <w:rFonts w:ascii="Times New Roman" w:hAnsi="Times New Roman" w:cs="Times New Roman"/>
          <w:sz w:val="24"/>
          <w:szCs w:val="24"/>
        </w:rPr>
        <w:t xml:space="preserve">, and they were able to vary </w:t>
      </w:r>
      <w:r w:rsidR="001101B5">
        <w:rPr>
          <w:rFonts w:ascii="Times New Roman" w:hAnsi="Times New Roman" w:cs="Times New Roman"/>
          <w:sz w:val="24"/>
          <w:szCs w:val="24"/>
        </w:rPr>
        <w:t xml:space="preserve">the </w:t>
      </w:r>
      <w:r>
        <w:rPr>
          <w:rFonts w:ascii="Times New Roman" w:hAnsi="Times New Roman" w:cs="Times New Roman"/>
          <w:sz w:val="24"/>
          <w:szCs w:val="24"/>
        </w:rPr>
        <w:t xml:space="preserve">patterns of their English intonation </w:t>
      </w:r>
      <w:commentRangeStart w:id="35"/>
      <w:r>
        <w:rPr>
          <w:rFonts w:ascii="Times New Roman" w:hAnsi="Times New Roman" w:cs="Times New Roman"/>
          <w:sz w:val="24"/>
          <w:szCs w:val="24"/>
        </w:rPr>
        <w:t>patterns</w:t>
      </w:r>
      <w:commentRangeEnd w:id="35"/>
      <w:r w:rsidR="001101B5">
        <w:rPr>
          <w:rStyle w:val="CommentReference"/>
        </w:rPr>
        <w:commentReference w:id="35"/>
      </w:r>
      <w:r>
        <w:rPr>
          <w:rFonts w:ascii="Times New Roman" w:hAnsi="Times New Roman" w:cs="Times New Roman"/>
          <w:sz w:val="24"/>
          <w:szCs w:val="24"/>
        </w:rPr>
        <w:t xml:space="preserve"> on the different structural types of tone units. </w:t>
      </w:r>
    </w:p>
    <w:p w14:paraId="49D8FC9A" w14:textId="77777777" w:rsidR="004139E1" w:rsidRDefault="00C53D0D">
      <w:pPr>
        <w:spacing w:line="240" w:lineRule="auto"/>
        <w:jc w:val="both"/>
        <w:rPr>
          <w:rFonts w:ascii="Times New Roman" w:hAnsi="Times New Roman" w:cs="Times New Roman"/>
          <w:sz w:val="24"/>
          <w:szCs w:val="24"/>
        </w:rPr>
      </w:pPr>
      <w:commentRangeStart w:id="36"/>
      <w:r>
        <w:rPr>
          <w:rFonts w:ascii="Times New Roman" w:hAnsi="Times New Roman" w:cs="Times New Roman"/>
          <w:sz w:val="24"/>
          <w:szCs w:val="24"/>
        </w:rPr>
        <w:t>The patterns of Nigerian federal legislators, in summary, are not consistent with DI; rather they are hugely in line with the formalised intonation rules. They seem not to be aware of the context-motivated intonation patterns. They are not conscious of the communicative value of English intonation in discourse but they are mainly concerned about structural types of their utterances and the kinds of tunes used with them.</w:t>
      </w:r>
      <w:commentRangeEnd w:id="36"/>
      <w:r w:rsidR="004024BD">
        <w:rPr>
          <w:rStyle w:val="CommentReference"/>
        </w:rPr>
        <w:commentReference w:id="36"/>
      </w:r>
    </w:p>
    <w:p w14:paraId="245F8F5E" w14:textId="77777777" w:rsidR="004139E1" w:rsidRDefault="004139E1">
      <w:pPr>
        <w:spacing w:line="240" w:lineRule="auto"/>
        <w:jc w:val="both"/>
        <w:rPr>
          <w:rFonts w:ascii="Times New Roman" w:hAnsi="Times New Roman" w:cs="Times New Roman"/>
          <w:sz w:val="24"/>
          <w:szCs w:val="24"/>
        </w:rPr>
      </w:pPr>
    </w:p>
    <w:p w14:paraId="010BC073" w14:textId="77777777" w:rsidR="004139E1" w:rsidRDefault="00C53D0D">
      <w:pPr>
        <w:spacing w:line="240" w:lineRule="auto"/>
        <w:jc w:val="both"/>
        <w:rPr>
          <w:rFonts w:ascii="Times New Roman" w:hAnsi="Times New Roman" w:cs="Times New Roman"/>
          <w:b/>
          <w:sz w:val="24"/>
          <w:szCs w:val="24"/>
        </w:rPr>
      </w:pPr>
      <w:commentRangeStart w:id="37"/>
      <w:r>
        <w:rPr>
          <w:rFonts w:ascii="Times New Roman" w:hAnsi="Times New Roman" w:cs="Times New Roman"/>
          <w:b/>
          <w:sz w:val="24"/>
          <w:szCs w:val="24"/>
        </w:rPr>
        <w:t>6. Suggestions for Further Studies</w:t>
      </w:r>
    </w:p>
    <w:p w14:paraId="3AE2B134" w14:textId="36E3358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This study concentrated on the choice of</w:t>
      </w:r>
      <w:r w:rsidR="004024BD">
        <w:rPr>
          <w:rFonts w:ascii="Times New Roman" w:hAnsi="Times New Roman" w:cs="Times New Roman"/>
          <w:sz w:val="24"/>
          <w:szCs w:val="24"/>
        </w:rPr>
        <w:t xml:space="preserve"> tunes by</w:t>
      </w:r>
      <w:r>
        <w:rPr>
          <w:rFonts w:ascii="Times New Roman" w:hAnsi="Times New Roman" w:cs="Times New Roman"/>
          <w:sz w:val="24"/>
          <w:szCs w:val="24"/>
        </w:rPr>
        <w:t xml:space="preserve"> the Nigerian federal legislators between August 2017 and May 2018. This scope delimits the present researcher to plenaries available within that time frame. Consequently, polar interrogative tone units produced by a female were not available. </w:t>
      </w:r>
    </w:p>
    <w:p w14:paraId="25B4DEED"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As mentioned earlier, this study concentrated on the choice of tunes, which is just a component (tone) out of the four components of Brazil’s DI. Since DI provides three other components: termination, key and prominence, further researchers may base their studies on Nigerian intonation </w:t>
      </w:r>
      <w:r>
        <w:rPr>
          <w:rFonts w:ascii="Times New Roman" w:hAnsi="Times New Roman" w:cs="Times New Roman"/>
          <w:sz w:val="24"/>
          <w:szCs w:val="24"/>
        </w:rPr>
        <w:lastRenderedPageBreak/>
        <w:t>on these components. This will foster in-depth knowledge on the ongoing studies of English intonation of Nigerian speakers and second-language speakers of English language.</w:t>
      </w:r>
      <w:commentRangeEnd w:id="37"/>
      <w:r w:rsidR="004024BD">
        <w:rPr>
          <w:rStyle w:val="CommentReference"/>
        </w:rPr>
        <w:commentReference w:id="37"/>
      </w:r>
    </w:p>
    <w:p w14:paraId="26D8F088" w14:textId="77777777" w:rsidR="004139E1" w:rsidRDefault="00C53D0D">
      <w:pPr>
        <w:spacing w:line="240" w:lineRule="auto"/>
        <w:jc w:val="both"/>
        <w:rPr>
          <w:rFonts w:ascii="Times New Roman" w:hAnsi="Times New Roman" w:cs="Times New Roman"/>
          <w:b/>
          <w:sz w:val="24"/>
          <w:szCs w:val="24"/>
        </w:rPr>
      </w:pPr>
      <w:commentRangeStart w:id="38"/>
      <w:r>
        <w:rPr>
          <w:rFonts w:ascii="Times New Roman" w:hAnsi="Times New Roman" w:cs="Times New Roman"/>
          <w:b/>
          <w:sz w:val="24"/>
          <w:szCs w:val="24"/>
          <w:lang w:val="en-US"/>
        </w:rPr>
        <w:t>7.</w:t>
      </w:r>
      <w:r>
        <w:rPr>
          <w:rFonts w:ascii="Times New Roman" w:hAnsi="Times New Roman" w:cs="Times New Roman"/>
          <w:b/>
          <w:sz w:val="24"/>
          <w:szCs w:val="24"/>
        </w:rPr>
        <w:tab/>
        <w:t>Recommendations</w:t>
      </w:r>
    </w:p>
    <w:p w14:paraId="6B90615A"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With the present state of Nigerian English intonation as revealed by this study that Nigerian federal legislators are not quite consistent in the how they deploy intonation tunes to construe intentions in the English language, the following recommendations are tendered for the provisions of necessary amendments and advancement.</w:t>
      </w:r>
    </w:p>
    <w:p w14:paraId="1CF3B2A2"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There is a need to look into the aspect of formal education — the school. Discourse Intonation should be emphasised in schools. In addition to the grammatical based rules of intonation taught in schools, both the primary and secondary schools’ language syllabi should reflect DI. Nigerians should be made to understand how to properly use either the proclaiming or referring tune on any structural types of sentence and convey their intention(s) without being misunderstood. To an extent, Nigerian pupils and students are aware of the type of tune that is used on a polar question, a wh-question and a non-interrogative statement respectively, but there is need to enlighten them on how to make context-based choices of tunes based on intentions. This can be done in several ways, but it must first be added to the syllabi. Pupils/students can also be made to play different roles to see how they deploy intonation patterns. For instance, they can be instructed to play market scene where some of them act as buyers and the other sellers.</w:t>
      </w:r>
      <w:commentRangeEnd w:id="38"/>
      <w:r w:rsidR="000B0E38">
        <w:rPr>
          <w:rStyle w:val="CommentReference"/>
        </w:rPr>
        <w:commentReference w:id="38"/>
      </w:r>
    </w:p>
    <w:p w14:paraId="4C18AAEC" w14:textId="77777777" w:rsidR="004139E1" w:rsidRDefault="004139E1">
      <w:pPr>
        <w:spacing w:line="240" w:lineRule="auto"/>
        <w:jc w:val="both"/>
        <w:rPr>
          <w:rFonts w:ascii="Times New Roman" w:hAnsi="Times New Roman" w:cs="Times New Roman"/>
          <w:b/>
          <w:sz w:val="24"/>
          <w:szCs w:val="24"/>
        </w:rPr>
      </w:pPr>
    </w:p>
    <w:p w14:paraId="6961F0CE"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References</w:t>
      </w:r>
    </w:p>
    <w:p w14:paraId="6D5FFD34"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 xml:space="preserve">Adejuwon, A. O. (2003). </w:t>
      </w:r>
      <w:r>
        <w:rPr>
          <w:rFonts w:ascii="Times New Roman" w:hAnsi="Times New Roman" w:cs="Times New Roman"/>
          <w:i/>
          <w:sz w:val="24"/>
          <w:szCs w:val="24"/>
        </w:rPr>
        <w:t>The English intonation patterns of some radio broadcasters in</w:t>
      </w:r>
      <w:r>
        <w:rPr>
          <w:rFonts w:ascii="Times New Roman" w:hAnsi="Times New Roman" w:cs="Times New Roman"/>
          <w:i/>
          <w:sz w:val="24"/>
          <w:szCs w:val="24"/>
        </w:rPr>
        <w:tab/>
        <w:t xml:space="preserve">Southwestern Nigeria. </w:t>
      </w:r>
      <w:r>
        <w:rPr>
          <w:rFonts w:ascii="Times New Roman" w:hAnsi="Times New Roman" w:cs="Times New Roman"/>
          <w:sz w:val="24"/>
          <w:szCs w:val="24"/>
        </w:rPr>
        <w:t>M. A. Thesis. Department of English, Obafemi Awolowo</w:t>
      </w:r>
      <w:r>
        <w:rPr>
          <w:rFonts w:ascii="Times New Roman" w:hAnsi="Times New Roman" w:cs="Times New Roman"/>
          <w:sz w:val="24"/>
          <w:szCs w:val="24"/>
        </w:rPr>
        <w:tab/>
        <w:t>University, Ile-Ife.</w:t>
      </w:r>
    </w:p>
    <w:p w14:paraId="1681A316" w14:textId="77777777" w:rsidR="004139E1" w:rsidRDefault="004139E1">
      <w:pPr>
        <w:pStyle w:val="NoSpacing"/>
        <w:jc w:val="both"/>
        <w:rPr>
          <w:rFonts w:ascii="Times New Roman" w:hAnsi="Times New Roman" w:cs="Times New Roman"/>
          <w:sz w:val="24"/>
          <w:szCs w:val="24"/>
        </w:rPr>
      </w:pPr>
    </w:p>
    <w:p w14:paraId="065A4BC0"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 xml:space="preserve">________. (2016). </w:t>
      </w:r>
      <w:r>
        <w:rPr>
          <w:rFonts w:ascii="Times New Roman" w:hAnsi="Times New Roman" w:cs="Times New Roman"/>
          <w:i/>
          <w:sz w:val="24"/>
          <w:szCs w:val="24"/>
        </w:rPr>
        <w:t>Natural speech and intonation rule patterns of selected educated Nigerian</w:t>
      </w:r>
      <w:r>
        <w:rPr>
          <w:rFonts w:ascii="Times New Roman" w:hAnsi="Times New Roman" w:cs="Times New Roman"/>
          <w:i/>
          <w:sz w:val="24"/>
          <w:szCs w:val="24"/>
        </w:rPr>
        <w:tab/>
        <w:t xml:space="preserve">speakers of English. </w:t>
      </w:r>
      <w:r>
        <w:rPr>
          <w:rFonts w:ascii="Times New Roman" w:hAnsi="Times New Roman" w:cs="Times New Roman"/>
          <w:sz w:val="24"/>
          <w:szCs w:val="24"/>
        </w:rPr>
        <w:t>PhD Thesis. Department of English, University of Ibadan, Ibadan.</w:t>
      </w:r>
    </w:p>
    <w:p w14:paraId="5118C689" w14:textId="77777777" w:rsidR="004139E1" w:rsidRDefault="004139E1">
      <w:pPr>
        <w:pStyle w:val="NoSpacing"/>
        <w:jc w:val="both"/>
        <w:rPr>
          <w:rStyle w:val="Emphasis"/>
          <w:rFonts w:ascii="Times New Roman" w:hAnsi="Times New Roman" w:cs="Times New Roman"/>
          <w:sz w:val="24"/>
          <w:szCs w:val="24"/>
        </w:rPr>
      </w:pPr>
    </w:p>
    <w:p w14:paraId="3E85620B" w14:textId="77777777" w:rsidR="004139E1" w:rsidRDefault="00C53D0D">
      <w:pPr>
        <w:pStyle w:val="NoSpacing"/>
        <w:jc w:val="both"/>
        <w:rPr>
          <w:rFonts w:ascii="Times New Roman" w:hAnsi="Times New Roman" w:cs="Times New Roman"/>
          <w:sz w:val="24"/>
          <w:szCs w:val="24"/>
        </w:rPr>
      </w:pPr>
      <w:r>
        <w:rPr>
          <w:rStyle w:val="Emphasis"/>
          <w:rFonts w:ascii="Times New Roman" w:hAnsi="Times New Roman" w:cs="Times New Roman"/>
          <w:i w:val="0"/>
          <w:sz w:val="24"/>
          <w:szCs w:val="24"/>
        </w:rPr>
        <w:t>Atoye</w:t>
      </w:r>
      <w:r>
        <w:rPr>
          <w:rStyle w:val="st"/>
          <w:rFonts w:ascii="Times New Roman" w:hAnsi="Times New Roman" w:cs="Times New Roman"/>
          <w:i/>
          <w:sz w:val="24"/>
          <w:szCs w:val="24"/>
        </w:rPr>
        <w:t>, R. O. (</w:t>
      </w:r>
      <w:r>
        <w:rPr>
          <w:rStyle w:val="Emphasis"/>
          <w:rFonts w:ascii="Times New Roman" w:hAnsi="Times New Roman" w:cs="Times New Roman"/>
          <w:i w:val="0"/>
          <w:sz w:val="24"/>
          <w:szCs w:val="24"/>
        </w:rPr>
        <w:t>2005)</w:t>
      </w:r>
      <w:r>
        <w:rPr>
          <w:rStyle w:val="st"/>
          <w:rFonts w:ascii="Times New Roman" w:hAnsi="Times New Roman" w:cs="Times New Roman"/>
          <w:i/>
          <w:sz w:val="24"/>
          <w:szCs w:val="24"/>
        </w:rPr>
        <w:t>.</w:t>
      </w:r>
      <w:r>
        <w:rPr>
          <w:rStyle w:val="st"/>
          <w:rFonts w:ascii="Times New Roman" w:hAnsi="Times New Roman" w:cs="Times New Roman"/>
          <w:sz w:val="24"/>
          <w:szCs w:val="24"/>
        </w:rPr>
        <w:t xml:space="preserve"> Non-native perception and interpretation of English </w:t>
      </w:r>
      <w:r>
        <w:rPr>
          <w:rStyle w:val="Emphasis"/>
          <w:rFonts w:ascii="Times New Roman" w:hAnsi="Times New Roman" w:cs="Times New Roman"/>
          <w:sz w:val="24"/>
          <w:szCs w:val="24"/>
        </w:rPr>
        <w:t>intonation</w:t>
      </w:r>
      <w:r>
        <w:rPr>
          <w:rStyle w:val="st"/>
          <w:rFonts w:ascii="Times New Roman" w:hAnsi="Times New Roman" w:cs="Times New Roman"/>
          <w:i/>
          <w:sz w:val="24"/>
          <w:szCs w:val="24"/>
        </w:rPr>
        <w:t>.</w:t>
      </w:r>
      <w:r>
        <w:rPr>
          <w:rStyle w:val="st"/>
          <w:rFonts w:ascii="Times New Roman" w:hAnsi="Times New Roman" w:cs="Times New Roman"/>
          <w:sz w:val="24"/>
          <w:szCs w:val="24"/>
        </w:rPr>
        <w:t xml:space="preserve"> </w:t>
      </w:r>
      <w:r>
        <w:rPr>
          <w:rStyle w:val="st"/>
          <w:rFonts w:ascii="Times New Roman" w:hAnsi="Times New Roman" w:cs="Times New Roman"/>
          <w:i/>
          <w:sz w:val="24"/>
          <w:szCs w:val="24"/>
        </w:rPr>
        <w:t>Nordic</w:t>
      </w:r>
      <w:r>
        <w:rPr>
          <w:rStyle w:val="st"/>
          <w:rFonts w:ascii="Times New Roman" w:hAnsi="Times New Roman" w:cs="Times New Roman"/>
          <w:i/>
          <w:sz w:val="24"/>
          <w:szCs w:val="24"/>
        </w:rPr>
        <w:tab/>
        <w:t>Journal of African Studies</w:t>
      </w:r>
      <w:r>
        <w:rPr>
          <w:rStyle w:val="st"/>
          <w:rFonts w:ascii="Times New Roman" w:hAnsi="Times New Roman" w:cs="Times New Roman"/>
          <w:sz w:val="24"/>
          <w:szCs w:val="24"/>
        </w:rPr>
        <w:t>, 14(1), 26–42</w:t>
      </w:r>
      <w:r>
        <w:rPr>
          <w:rFonts w:ascii="Times New Roman" w:hAnsi="Times New Roman" w:cs="Times New Roman"/>
          <w:sz w:val="24"/>
          <w:szCs w:val="24"/>
        </w:rPr>
        <w:t xml:space="preserve"> </w:t>
      </w:r>
    </w:p>
    <w:p w14:paraId="1E0F0588" w14:textId="77777777" w:rsidR="004139E1" w:rsidRDefault="004139E1">
      <w:pPr>
        <w:pStyle w:val="NoSpacing"/>
        <w:jc w:val="both"/>
        <w:rPr>
          <w:rFonts w:ascii="Times New Roman" w:hAnsi="Times New Roman" w:cs="Times New Roman"/>
          <w:sz w:val="24"/>
          <w:szCs w:val="24"/>
        </w:rPr>
      </w:pPr>
    </w:p>
    <w:p w14:paraId="4153FB76"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 xml:space="preserve">Chun, D. (2002). </w:t>
      </w:r>
      <w:r>
        <w:rPr>
          <w:rFonts w:ascii="Times New Roman" w:hAnsi="Times New Roman" w:cs="Times New Roman"/>
          <w:i/>
          <w:sz w:val="24"/>
          <w:szCs w:val="24"/>
        </w:rPr>
        <w:t>Discourse intonation in L2</w:t>
      </w:r>
      <w:r>
        <w:rPr>
          <w:rFonts w:ascii="Times New Roman" w:hAnsi="Times New Roman" w:cs="Times New Roman"/>
          <w:sz w:val="24"/>
          <w:szCs w:val="24"/>
        </w:rPr>
        <w:t>. Amsterdam: John Benjamins.</w:t>
      </w:r>
    </w:p>
    <w:p w14:paraId="4DE2BB87" w14:textId="77777777" w:rsidR="004139E1" w:rsidRDefault="004139E1">
      <w:pPr>
        <w:pStyle w:val="NoSpacing"/>
        <w:jc w:val="both"/>
        <w:rPr>
          <w:rFonts w:ascii="Times New Roman" w:hAnsi="Times New Roman" w:cs="Times New Roman"/>
          <w:sz w:val="24"/>
          <w:szCs w:val="24"/>
        </w:rPr>
      </w:pPr>
    </w:p>
    <w:p w14:paraId="0E4105D5"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 xml:space="preserve">Coulthard, M. (1985) </w:t>
      </w:r>
      <w:r>
        <w:rPr>
          <w:rFonts w:ascii="Times New Roman" w:hAnsi="Times New Roman" w:cs="Times New Roman"/>
          <w:i/>
          <w:sz w:val="24"/>
          <w:szCs w:val="24"/>
        </w:rPr>
        <w:t xml:space="preserve">Intonation: an introduction to discourse analysis. </w:t>
      </w:r>
      <w:r>
        <w:rPr>
          <w:rFonts w:ascii="Times New Roman" w:hAnsi="Times New Roman" w:cs="Times New Roman"/>
          <w:sz w:val="24"/>
          <w:szCs w:val="24"/>
        </w:rPr>
        <w:t>London: Longman.</w:t>
      </w:r>
    </w:p>
    <w:p w14:paraId="6F898369" w14:textId="77777777" w:rsidR="004139E1" w:rsidRDefault="004139E1">
      <w:pPr>
        <w:pStyle w:val="NoSpacing"/>
        <w:jc w:val="both"/>
        <w:rPr>
          <w:rFonts w:ascii="Times New Roman" w:hAnsi="Times New Roman" w:cs="Times New Roman"/>
          <w:sz w:val="24"/>
          <w:szCs w:val="24"/>
        </w:rPr>
      </w:pPr>
    </w:p>
    <w:p w14:paraId="0983347B"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 xml:space="preserve">Brazil, D. (1997). </w:t>
      </w:r>
      <w:r>
        <w:rPr>
          <w:rFonts w:ascii="Times New Roman" w:hAnsi="Times New Roman" w:cs="Times New Roman"/>
          <w:i/>
          <w:sz w:val="24"/>
          <w:szCs w:val="24"/>
        </w:rPr>
        <w:t>The communicative value of intonation in English.</w:t>
      </w:r>
      <w:r>
        <w:rPr>
          <w:rFonts w:ascii="Times New Roman" w:hAnsi="Times New Roman" w:cs="Times New Roman"/>
          <w:sz w:val="24"/>
          <w:szCs w:val="24"/>
        </w:rPr>
        <w:t xml:space="preserve"> Cambridge: Cambridge</w:t>
      </w:r>
      <w:r>
        <w:rPr>
          <w:rFonts w:ascii="Times New Roman" w:hAnsi="Times New Roman" w:cs="Times New Roman"/>
          <w:sz w:val="24"/>
          <w:szCs w:val="24"/>
        </w:rPr>
        <w:tab/>
        <w:t>University Press.</w:t>
      </w:r>
    </w:p>
    <w:p w14:paraId="0981045D" w14:textId="77777777" w:rsidR="004139E1" w:rsidRDefault="004139E1">
      <w:pPr>
        <w:pStyle w:val="NoSpacing"/>
        <w:jc w:val="both"/>
        <w:rPr>
          <w:rFonts w:ascii="Times New Roman" w:hAnsi="Times New Roman" w:cs="Times New Roman"/>
          <w:sz w:val="24"/>
          <w:szCs w:val="24"/>
        </w:rPr>
      </w:pPr>
    </w:p>
    <w:p w14:paraId="359127AC"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 xml:space="preserve">Eka, D. (1985). </w:t>
      </w:r>
      <w:r>
        <w:rPr>
          <w:rFonts w:ascii="Times New Roman" w:hAnsi="Times New Roman" w:cs="Times New Roman"/>
          <w:i/>
          <w:sz w:val="24"/>
          <w:szCs w:val="24"/>
        </w:rPr>
        <w:t xml:space="preserve">A Phonological Study of Standard Nigerian English. </w:t>
      </w:r>
      <w:r>
        <w:rPr>
          <w:rFonts w:ascii="Times New Roman" w:hAnsi="Times New Roman" w:cs="Times New Roman"/>
          <w:sz w:val="24"/>
          <w:szCs w:val="24"/>
        </w:rPr>
        <w:t>Doctoral dissertation,</w:t>
      </w:r>
      <w:r>
        <w:rPr>
          <w:rFonts w:ascii="Times New Roman" w:hAnsi="Times New Roman" w:cs="Times New Roman"/>
          <w:sz w:val="24"/>
          <w:szCs w:val="24"/>
        </w:rPr>
        <w:tab/>
        <w:t>Ahmadu Bello University, Zaria.</w:t>
      </w:r>
    </w:p>
    <w:p w14:paraId="1CABBAB1" w14:textId="77777777" w:rsidR="004139E1" w:rsidRDefault="004139E1">
      <w:pPr>
        <w:pStyle w:val="NoSpacing"/>
        <w:jc w:val="both"/>
        <w:rPr>
          <w:rFonts w:ascii="Times New Roman" w:hAnsi="Times New Roman" w:cs="Times New Roman"/>
          <w:sz w:val="24"/>
          <w:szCs w:val="24"/>
        </w:rPr>
      </w:pPr>
    </w:p>
    <w:p w14:paraId="0325DD8A"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 xml:space="preserve">Gut,. U. (2005). Nigerian English  Prosody. </w:t>
      </w:r>
      <w:r>
        <w:rPr>
          <w:rFonts w:ascii="Times New Roman" w:hAnsi="Times New Roman" w:cs="Times New Roman"/>
          <w:i/>
          <w:sz w:val="24"/>
          <w:szCs w:val="24"/>
        </w:rPr>
        <w:t>English world-wide, 26</w:t>
      </w:r>
      <w:r>
        <w:rPr>
          <w:rFonts w:ascii="Times New Roman" w:hAnsi="Times New Roman" w:cs="Times New Roman"/>
          <w:sz w:val="24"/>
          <w:szCs w:val="24"/>
        </w:rPr>
        <w:t>(2), 153-177.</w:t>
      </w:r>
    </w:p>
    <w:p w14:paraId="5EB0A450" w14:textId="77777777" w:rsidR="004139E1" w:rsidRDefault="004139E1">
      <w:pPr>
        <w:pStyle w:val="NoSpacing"/>
        <w:jc w:val="both"/>
        <w:rPr>
          <w:rFonts w:ascii="Times New Roman" w:hAnsi="Times New Roman" w:cs="Times New Roman"/>
          <w:sz w:val="24"/>
          <w:szCs w:val="24"/>
        </w:rPr>
      </w:pPr>
    </w:p>
    <w:p w14:paraId="399C7F36"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 xml:space="preserve">Jowitt, D. (2000). Patterns of Nigerian English Intonation. </w:t>
      </w:r>
      <w:r>
        <w:rPr>
          <w:rFonts w:ascii="Times New Roman" w:hAnsi="Times New Roman" w:cs="Times New Roman"/>
          <w:i/>
          <w:sz w:val="24"/>
          <w:szCs w:val="24"/>
        </w:rPr>
        <w:t>English World Wide</w:t>
      </w:r>
      <w:r>
        <w:rPr>
          <w:rFonts w:ascii="Times New Roman" w:hAnsi="Times New Roman" w:cs="Times New Roman"/>
          <w:sz w:val="24"/>
          <w:szCs w:val="24"/>
        </w:rPr>
        <w:t>, 21(1), 63-80</w:t>
      </w:r>
    </w:p>
    <w:p w14:paraId="43C9058C" w14:textId="77777777" w:rsidR="004139E1" w:rsidRDefault="004139E1">
      <w:pPr>
        <w:pStyle w:val="NoSpacing"/>
        <w:jc w:val="both"/>
        <w:rPr>
          <w:rFonts w:ascii="Times New Roman" w:hAnsi="Times New Roman" w:cs="Times New Roman"/>
          <w:sz w:val="24"/>
          <w:szCs w:val="24"/>
        </w:rPr>
      </w:pPr>
    </w:p>
    <w:p w14:paraId="11E697EA"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 xml:space="preserve">_______. (1991). </w:t>
      </w:r>
      <w:r>
        <w:rPr>
          <w:rFonts w:ascii="Times New Roman" w:hAnsi="Times New Roman" w:cs="Times New Roman"/>
          <w:i/>
          <w:sz w:val="24"/>
          <w:szCs w:val="24"/>
        </w:rPr>
        <w:t xml:space="preserve">Nigerian English Usage: An Introduction. </w:t>
      </w:r>
      <w:r>
        <w:rPr>
          <w:rFonts w:ascii="Times New Roman" w:hAnsi="Times New Roman" w:cs="Times New Roman"/>
          <w:sz w:val="24"/>
          <w:szCs w:val="24"/>
        </w:rPr>
        <w:t>Lagos: Longman</w:t>
      </w:r>
    </w:p>
    <w:p w14:paraId="565EAD7E" w14:textId="77777777" w:rsidR="004139E1" w:rsidRDefault="004139E1">
      <w:pPr>
        <w:pStyle w:val="NoSpacing"/>
        <w:jc w:val="both"/>
        <w:rPr>
          <w:rFonts w:ascii="Times New Roman" w:hAnsi="Times New Roman" w:cs="Times New Roman"/>
          <w:sz w:val="24"/>
          <w:szCs w:val="24"/>
        </w:rPr>
      </w:pPr>
    </w:p>
    <w:p w14:paraId="0932B18A"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 xml:space="preserve">Labov, W. (1972). </w:t>
      </w:r>
      <w:r>
        <w:rPr>
          <w:rFonts w:ascii="Times New Roman" w:hAnsi="Times New Roman" w:cs="Times New Roman"/>
          <w:i/>
          <w:sz w:val="24"/>
          <w:szCs w:val="24"/>
        </w:rPr>
        <w:t>Sociolinguistic Patterns</w:t>
      </w:r>
      <w:r>
        <w:rPr>
          <w:rFonts w:ascii="Times New Roman" w:hAnsi="Times New Roman" w:cs="Times New Roman"/>
          <w:sz w:val="24"/>
          <w:szCs w:val="24"/>
        </w:rPr>
        <w:t>. Philadelphia: University of Pennsylvania Press.</w:t>
      </w:r>
    </w:p>
    <w:p w14:paraId="78D1AAC9" w14:textId="77777777" w:rsidR="004139E1" w:rsidRDefault="004139E1">
      <w:pPr>
        <w:pStyle w:val="NoSpacing"/>
        <w:jc w:val="both"/>
        <w:rPr>
          <w:rFonts w:ascii="Times New Roman" w:hAnsi="Times New Roman" w:cs="Times New Roman"/>
          <w:sz w:val="24"/>
          <w:szCs w:val="24"/>
        </w:rPr>
      </w:pPr>
    </w:p>
    <w:p w14:paraId="1E91CEF1"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McNeill, D., Quek, F., McCullough, K.-E., Duncan, S., Furuyama, N., Bryll, R., Ma, X.-F. &amp;</w:t>
      </w:r>
      <w:r>
        <w:rPr>
          <w:rFonts w:ascii="Times New Roman" w:hAnsi="Times New Roman" w:cs="Times New Roman"/>
          <w:sz w:val="24"/>
          <w:szCs w:val="24"/>
        </w:rPr>
        <w:tab/>
        <w:t xml:space="preserve">Ansari, R. (2001) Catchments, Prosody and Discourse. </w:t>
      </w:r>
      <w:r>
        <w:rPr>
          <w:rFonts w:ascii="Times New Roman" w:hAnsi="Times New Roman" w:cs="Times New Roman"/>
          <w:i/>
          <w:iCs/>
          <w:sz w:val="24"/>
          <w:szCs w:val="24"/>
        </w:rPr>
        <w:t xml:space="preserve">Gesture </w:t>
      </w:r>
      <w:r>
        <w:rPr>
          <w:rFonts w:ascii="Times New Roman" w:hAnsi="Times New Roman" w:cs="Times New Roman"/>
          <w:sz w:val="24"/>
          <w:szCs w:val="24"/>
        </w:rPr>
        <w:t>1(1), 9-33.</w:t>
      </w:r>
    </w:p>
    <w:p w14:paraId="5ABCB902" w14:textId="77777777" w:rsidR="004139E1" w:rsidRDefault="004139E1">
      <w:pPr>
        <w:pStyle w:val="NoSpacing"/>
        <w:jc w:val="both"/>
        <w:rPr>
          <w:rFonts w:ascii="Times New Roman" w:hAnsi="Times New Roman" w:cs="Times New Roman"/>
          <w:sz w:val="24"/>
          <w:szCs w:val="24"/>
        </w:rPr>
      </w:pPr>
    </w:p>
    <w:p w14:paraId="15126A2E"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 xml:space="preserve">Odeyemi, J. O. (2016). </w:t>
      </w:r>
      <w:r>
        <w:rPr>
          <w:rFonts w:ascii="Times New Roman" w:hAnsi="Times New Roman" w:cs="Times New Roman"/>
          <w:i/>
          <w:sz w:val="24"/>
          <w:szCs w:val="24"/>
        </w:rPr>
        <w:t>Context and Discourse Intonation in English medium product</w:t>
      </w:r>
      <w:r>
        <w:rPr>
          <w:rFonts w:ascii="Times New Roman" w:hAnsi="Times New Roman" w:cs="Times New Roman"/>
          <w:i/>
          <w:sz w:val="24"/>
          <w:szCs w:val="24"/>
        </w:rPr>
        <w:tab/>
        <w:t xml:space="preserve">advertisements on radio and television in Nigeria. </w:t>
      </w:r>
      <w:r>
        <w:rPr>
          <w:rFonts w:ascii="Times New Roman" w:hAnsi="Times New Roman" w:cs="Times New Roman"/>
          <w:sz w:val="24"/>
          <w:szCs w:val="24"/>
        </w:rPr>
        <w:t>PhD Thesis. Department of English,</w:t>
      </w:r>
      <w:r>
        <w:rPr>
          <w:rFonts w:ascii="Times New Roman" w:hAnsi="Times New Roman" w:cs="Times New Roman"/>
          <w:sz w:val="24"/>
          <w:szCs w:val="24"/>
        </w:rPr>
        <w:tab/>
        <w:t>University of Ibadan, Ibadan.</w:t>
      </w:r>
    </w:p>
    <w:p w14:paraId="7E802220" w14:textId="77777777" w:rsidR="004139E1" w:rsidRDefault="004139E1">
      <w:pPr>
        <w:pStyle w:val="NoSpacing"/>
        <w:jc w:val="both"/>
        <w:rPr>
          <w:rFonts w:ascii="Times New Roman" w:hAnsi="Times New Roman" w:cs="Times New Roman"/>
          <w:sz w:val="24"/>
          <w:szCs w:val="24"/>
        </w:rPr>
      </w:pPr>
    </w:p>
    <w:p w14:paraId="14AA2767"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 xml:space="preserve">Ranalli, J. M. (2002). </w:t>
      </w:r>
      <w:r>
        <w:rPr>
          <w:rFonts w:ascii="Times New Roman" w:hAnsi="Times New Roman" w:cs="Times New Roman"/>
          <w:i/>
          <w:sz w:val="24"/>
          <w:szCs w:val="24"/>
        </w:rPr>
        <w:t xml:space="preserve">Discourse intonation: to teach or not to teach?. </w:t>
      </w:r>
      <w:r>
        <w:rPr>
          <w:rFonts w:ascii="Times New Roman" w:hAnsi="Times New Roman" w:cs="Times New Roman"/>
          <w:sz w:val="24"/>
          <w:szCs w:val="24"/>
        </w:rPr>
        <w:t>University of Birmingham.</w:t>
      </w:r>
      <w:r>
        <w:rPr>
          <w:rFonts w:ascii="Times New Roman" w:hAnsi="Times New Roman" w:cs="Times New Roman"/>
          <w:sz w:val="24"/>
          <w:szCs w:val="24"/>
        </w:rPr>
        <w:tab/>
        <w:t>Retrieved from http://www.cels.bham.ac.uk/resources/essays/Rannali4.pdf</w:t>
      </w:r>
    </w:p>
    <w:p w14:paraId="5EB664F8" w14:textId="77777777" w:rsidR="004139E1" w:rsidRDefault="004139E1">
      <w:pPr>
        <w:pStyle w:val="NoSpacing"/>
        <w:jc w:val="both"/>
        <w:rPr>
          <w:rFonts w:ascii="Times New Roman" w:hAnsi="Times New Roman" w:cs="Times New Roman"/>
          <w:sz w:val="24"/>
          <w:szCs w:val="24"/>
        </w:rPr>
      </w:pPr>
    </w:p>
    <w:p w14:paraId="164C7409"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Taiwo, R. (2009). Polysemous usage in domesticated English varieties: A case study of the verb</w:t>
      </w:r>
      <w:r>
        <w:rPr>
          <w:rFonts w:ascii="Times New Roman" w:hAnsi="Times New Roman" w:cs="Times New Roman"/>
          <w:sz w:val="24"/>
          <w:szCs w:val="24"/>
        </w:rPr>
        <w:tab/>
        <w:t>see in Nigerian English.Samara AltLinguo E-Journal #4. Available online at:</w:t>
      </w:r>
      <w:r>
        <w:rPr>
          <w:rFonts w:ascii="Times New Roman" w:hAnsi="Times New Roman" w:cs="Times New Roman"/>
          <w:sz w:val="24"/>
          <w:szCs w:val="24"/>
        </w:rPr>
        <w:tab/>
        <w:t>http://samaraaltlinguo.narod.ru/ejournal/409_rtaiwo.pdf</w:t>
      </w:r>
    </w:p>
    <w:p w14:paraId="0E0C2D01" w14:textId="77777777" w:rsidR="004139E1" w:rsidRDefault="004139E1">
      <w:pPr>
        <w:pStyle w:val="NoSpacing"/>
        <w:jc w:val="both"/>
        <w:rPr>
          <w:rFonts w:ascii="Times New Roman" w:hAnsi="Times New Roman" w:cs="Times New Roman"/>
          <w:sz w:val="24"/>
          <w:szCs w:val="24"/>
        </w:rPr>
      </w:pPr>
    </w:p>
    <w:p w14:paraId="04272787" w14:textId="77777777" w:rsidR="004139E1" w:rsidRDefault="00C53D0D" w:rsidP="006E4947">
      <w:pPr>
        <w:pStyle w:val="NoSpacing"/>
        <w:jc w:val="both"/>
        <w:rPr>
          <w:rFonts w:ascii="Times New Roman" w:hAnsi="Times New Roman" w:cs="Times New Roman"/>
          <w:sz w:val="24"/>
          <w:szCs w:val="24"/>
        </w:rPr>
      </w:pPr>
      <w:r>
        <w:rPr>
          <w:rFonts w:ascii="Times New Roman" w:hAnsi="Times New Roman" w:cs="Times New Roman"/>
          <w:sz w:val="24"/>
          <w:szCs w:val="24"/>
        </w:rPr>
        <w:t xml:space="preserve">Udofot, I. (1997). </w:t>
      </w:r>
      <w:r>
        <w:rPr>
          <w:rFonts w:ascii="Times New Roman" w:hAnsi="Times New Roman" w:cs="Times New Roman"/>
          <w:i/>
          <w:sz w:val="24"/>
          <w:szCs w:val="24"/>
        </w:rPr>
        <w:t>The rhythm of spoken Nigerian English</w:t>
      </w:r>
      <w:r>
        <w:rPr>
          <w:rFonts w:ascii="Times New Roman" w:hAnsi="Times New Roman" w:cs="Times New Roman"/>
          <w:sz w:val="24"/>
          <w:szCs w:val="24"/>
        </w:rPr>
        <w:t>. (Doctoral dissertation), University of</w:t>
      </w:r>
      <w:r>
        <w:rPr>
          <w:rFonts w:ascii="Times New Roman" w:hAnsi="Times New Roman" w:cs="Times New Roman"/>
          <w:sz w:val="24"/>
          <w:szCs w:val="24"/>
        </w:rPr>
        <w:tab/>
        <w:t>Uyo, Nigeria.</w:t>
      </w:r>
    </w:p>
    <w:p w14:paraId="6B8BCB75" w14:textId="77777777" w:rsidR="006E4947" w:rsidRDefault="006E4947" w:rsidP="006E4947">
      <w:pPr>
        <w:pStyle w:val="NoSpacing"/>
        <w:jc w:val="both"/>
        <w:rPr>
          <w:rFonts w:ascii="Times New Roman" w:hAnsi="Times New Roman" w:cs="Times New Roman"/>
          <w:sz w:val="24"/>
          <w:szCs w:val="24"/>
        </w:rPr>
      </w:pPr>
    </w:p>
    <w:p w14:paraId="6D24274E"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Ufomata, T. (1996). S</w:t>
      </w:r>
      <w:r>
        <w:rPr>
          <w:rFonts w:ascii="Times New Roman" w:hAnsi="Times New Roman" w:cs="Times New Roman"/>
          <w:i/>
          <w:sz w:val="24"/>
          <w:szCs w:val="24"/>
        </w:rPr>
        <w:t>etting Priorities in Teaching English Pronunciation in ESL Contexts.</w:t>
      </w:r>
      <w:r>
        <w:rPr>
          <w:rFonts w:ascii="Times New Roman" w:hAnsi="Times New Roman" w:cs="Times New Roman"/>
          <w:sz w:val="24"/>
          <w:szCs w:val="24"/>
        </w:rPr>
        <w:tab/>
      </w:r>
      <w:hyperlink r:id="rId29" w:history="1">
        <w:r>
          <w:rPr>
            <w:rStyle w:val="Hyperlink"/>
            <w:rFonts w:ascii="Times New Roman" w:hAnsi="Times New Roman" w:cs="Times New Roman"/>
            <w:color w:val="auto"/>
            <w:sz w:val="24"/>
            <w:szCs w:val="24"/>
          </w:rPr>
          <w:t>http://pitch.phon.ucl.ac.uk/home/shl9/ufoma</w:t>
        </w:r>
      </w:hyperlink>
      <w:r>
        <w:rPr>
          <w:rFonts w:ascii="Times New Roman" w:hAnsi="Times New Roman" w:cs="Times New Roman"/>
          <w:sz w:val="24"/>
          <w:szCs w:val="24"/>
        </w:rPr>
        <w:t xml:space="preserve"> ta/titiE</w:t>
      </w:r>
    </w:p>
    <w:p w14:paraId="1F04BD32" w14:textId="77777777" w:rsidR="004139E1" w:rsidRDefault="004139E1">
      <w:pPr>
        <w:pStyle w:val="NoSpacing"/>
        <w:jc w:val="both"/>
        <w:rPr>
          <w:rFonts w:ascii="Times New Roman" w:hAnsi="Times New Roman" w:cs="Times New Roman"/>
          <w:b/>
          <w:sz w:val="24"/>
          <w:szCs w:val="24"/>
        </w:rPr>
      </w:pPr>
    </w:p>
    <w:p w14:paraId="13DAE356" w14:textId="77777777" w:rsidR="004139E1" w:rsidRDefault="004139E1">
      <w:pPr>
        <w:spacing w:line="240" w:lineRule="auto"/>
        <w:jc w:val="both"/>
        <w:rPr>
          <w:rFonts w:ascii="Times New Roman" w:hAnsi="Times New Roman" w:cs="Times New Roman"/>
          <w:sz w:val="24"/>
          <w:szCs w:val="24"/>
        </w:rPr>
      </w:pPr>
    </w:p>
    <w:sectPr w:rsidR="004139E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Windows User" w:date="2022-04-21T13:22:00Z" w:initials="WU">
    <w:p w14:paraId="1E29134A" w14:textId="7864678A" w:rsidR="00681A85" w:rsidRDefault="00681A85">
      <w:pPr>
        <w:pStyle w:val="CommentText"/>
      </w:pPr>
      <w:r>
        <w:rPr>
          <w:rStyle w:val="CommentReference"/>
        </w:rPr>
        <w:annotationRef/>
      </w:r>
      <w:r>
        <w:t>How many legislators were selected?</w:t>
      </w:r>
    </w:p>
  </w:comment>
  <w:comment w:id="1" w:author="Windows User" w:date="2022-04-21T13:13:00Z" w:initials="WU">
    <w:p w14:paraId="495CBFD9" w14:textId="4E81697C" w:rsidR="00B86C5B" w:rsidRDefault="00B86C5B">
      <w:pPr>
        <w:pStyle w:val="CommentText"/>
      </w:pPr>
      <w:r>
        <w:rPr>
          <w:rStyle w:val="CommentReference"/>
        </w:rPr>
        <w:annotationRef/>
      </w:r>
      <w:r>
        <w:t>Change to “their”</w:t>
      </w:r>
    </w:p>
  </w:comment>
  <w:comment w:id="2" w:author="Windows User" w:date="2022-04-21T13:14:00Z" w:initials="WU">
    <w:p w14:paraId="55B886C6" w14:textId="6D450F14" w:rsidR="00B86C5B" w:rsidRDefault="00B86C5B">
      <w:pPr>
        <w:pStyle w:val="CommentText"/>
      </w:pPr>
      <w:r>
        <w:rPr>
          <w:rStyle w:val="CommentReference"/>
        </w:rPr>
        <w:annotationRef/>
      </w:r>
      <w:r>
        <w:t>Change to “the Assembly’s”</w:t>
      </w:r>
    </w:p>
  </w:comment>
  <w:comment w:id="4" w:author="Windows User" w:date="2022-04-21T13:18:00Z" w:initials="WU">
    <w:p w14:paraId="602748F1" w14:textId="7898D489" w:rsidR="00B86C5B" w:rsidRDefault="00B86C5B">
      <w:pPr>
        <w:pStyle w:val="CommentText"/>
      </w:pPr>
      <w:r>
        <w:rPr>
          <w:rStyle w:val="CommentReference"/>
        </w:rPr>
        <w:annotationRef/>
      </w:r>
      <w:r>
        <w:t>Let this read either “grammatical intonation…” or “rule-based intonation…”</w:t>
      </w:r>
    </w:p>
  </w:comment>
  <w:comment w:id="3" w:author="Windows User" w:date="2022-04-27T06:14:00Z" w:initials="WU">
    <w:p w14:paraId="13BAE69A" w14:textId="094DB129" w:rsidR="00290A44" w:rsidRDefault="00290A44">
      <w:pPr>
        <w:pStyle w:val="CommentText"/>
      </w:pPr>
      <w:r>
        <w:rPr>
          <w:rStyle w:val="CommentReference"/>
        </w:rPr>
        <w:annotationRef/>
      </w:r>
      <w:r>
        <w:t>Expunge gender analysis from</w:t>
      </w:r>
      <w:r w:rsidR="003D323B">
        <w:t xml:space="preserve"> this paper. It can be the focus</w:t>
      </w:r>
      <w:r>
        <w:t xml:space="preserve"> of another paper.</w:t>
      </w:r>
    </w:p>
  </w:comment>
  <w:comment w:id="5" w:author="Windows User" w:date="2022-04-21T13:33:00Z" w:initials="WU">
    <w:p w14:paraId="73E27728" w14:textId="100F513E" w:rsidR="00892C70" w:rsidRDefault="00892C70">
      <w:pPr>
        <w:pStyle w:val="CommentText"/>
      </w:pPr>
      <w:r>
        <w:rPr>
          <w:rStyle w:val="CommentReference"/>
        </w:rPr>
        <w:annotationRef/>
      </w:r>
      <w:r>
        <w:t>Prefix this with “The study concluded that…”</w:t>
      </w:r>
    </w:p>
  </w:comment>
  <w:comment w:id="6" w:author="Windows User" w:date="2022-04-21T13:26:00Z" w:initials="WU">
    <w:p w14:paraId="3EE4FFA3" w14:textId="7DD19770" w:rsidR="00681A85" w:rsidRDefault="00681A85">
      <w:pPr>
        <w:pStyle w:val="CommentText"/>
      </w:pPr>
      <w:r>
        <w:rPr>
          <w:rStyle w:val="CommentReference"/>
        </w:rPr>
        <w:annotationRef/>
      </w:r>
      <w:r>
        <w:t>How do you reconcile this finding with Sentence 4</w:t>
      </w:r>
      <w:r w:rsidR="00C32A36">
        <w:t xml:space="preserve"> (with red letters)</w:t>
      </w:r>
      <w:r>
        <w:t xml:space="preserve"> in Paragraph 2? That sentence proves contrary to your conclusion</w:t>
      </w:r>
      <w:r w:rsidR="00892C70">
        <w:t>.</w:t>
      </w:r>
    </w:p>
  </w:comment>
  <w:comment w:id="7" w:author="Windows User" w:date="2022-04-21T13:46:00Z" w:initials="WU">
    <w:p w14:paraId="641A9A47" w14:textId="16E70093" w:rsidR="00FA4125" w:rsidRDefault="00FA4125">
      <w:pPr>
        <w:pStyle w:val="CommentText"/>
      </w:pPr>
      <w:r>
        <w:rPr>
          <w:rStyle w:val="CommentReference"/>
        </w:rPr>
        <w:annotationRef/>
      </w:r>
      <w:r>
        <w:t>Let this read “Nigerian speakers of English…”</w:t>
      </w:r>
    </w:p>
  </w:comment>
  <w:comment w:id="8" w:author="Windows User" w:date="2022-04-21T13:48:00Z" w:initials="WU">
    <w:p w14:paraId="0D7048E9" w14:textId="0C0D25F9" w:rsidR="00C70D3B" w:rsidRDefault="00C70D3B">
      <w:pPr>
        <w:pStyle w:val="CommentText"/>
      </w:pPr>
      <w:r>
        <w:rPr>
          <w:rStyle w:val="CommentReference"/>
        </w:rPr>
        <w:annotationRef/>
      </w:r>
      <w:r>
        <w:t xml:space="preserve">Let this read “stess-timing – …” </w:t>
      </w:r>
    </w:p>
  </w:comment>
  <w:comment w:id="9" w:author="Windows User" w:date="2022-04-21T13:51:00Z" w:initials="WU">
    <w:p w14:paraId="5143D63D" w14:textId="57D266F4" w:rsidR="009D691D" w:rsidRDefault="009D691D">
      <w:pPr>
        <w:pStyle w:val="CommentText"/>
      </w:pPr>
      <w:r>
        <w:rPr>
          <w:rStyle w:val="CommentReference"/>
        </w:rPr>
        <w:annotationRef/>
      </w:r>
      <w:r>
        <w:t>It is the latter publications that should lend credence to the former.</w:t>
      </w:r>
    </w:p>
  </w:comment>
  <w:comment w:id="10" w:author="Windows User" w:date="2022-04-21T13:55:00Z" w:initials="WU">
    <w:p w14:paraId="3DC47422" w14:textId="22E313A6" w:rsidR="009D691D" w:rsidRDefault="009D691D">
      <w:pPr>
        <w:pStyle w:val="CommentText"/>
      </w:pPr>
      <w:r>
        <w:rPr>
          <w:rStyle w:val="CommentReference"/>
        </w:rPr>
        <w:annotationRef/>
      </w:r>
      <w:r>
        <w:t>Remove “and”, then start a new sentence from “Having…”</w:t>
      </w:r>
    </w:p>
  </w:comment>
  <w:comment w:id="11" w:author="Windows User" w:date="2022-04-21T14:08:00Z" w:initials="WU">
    <w:p w14:paraId="61F32C46" w14:textId="566430B7" w:rsidR="009B6D3F" w:rsidRDefault="009B6D3F">
      <w:pPr>
        <w:pStyle w:val="CommentText"/>
      </w:pPr>
      <w:r>
        <w:rPr>
          <w:rStyle w:val="CommentReference"/>
        </w:rPr>
        <w:annotationRef/>
      </w:r>
      <w:r>
        <w:t>Delete</w:t>
      </w:r>
    </w:p>
  </w:comment>
  <w:comment w:id="12" w:author="Windows User" w:date="2022-04-21T14:21:00Z" w:initials="WU">
    <w:p w14:paraId="40C55F12" w14:textId="68A79806" w:rsidR="00A02530" w:rsidRDefault="00A02530">
      <w:pPr>
        <w:pStyle w:val="CommentText"/>
      </w:pPr>
      <w:r>
        <w:rPr>
          <w:rStyle w:val="CommentReference"/>
        </w:rPr>
        <w:annotationRef/>
      </w:r>
      <w:r>
        <w:t>Remove comma and let the highlighted portion read “</w:t>
      </w:r>
      <w:r>
        <w:rPr>
          <w:rFonts w:ascii="Times New Roman" w:hAnsi="Times New Roman" w:cs="Times New Roman"/>
          <w:sz w:val="24"/>
          <w:szCs w:val="24"/>
        </w:rPr>
        <w:t>were generated during focus group discussion sessions”</w:t>
      </w:r>
    </w:p>
  </w:comment>
  <w:comment w:id="13" w:author="Windows User" w:date="2022-04-21T14:41:00Z" w:initials="WU">
    <w:p w14:paraId="7A27832A" w14:textId="2FE75BBC" w:rsidR="0013776A" w:rsidRDefault="0013776A">
      <w:pPr>
        <w:pStyle w:val="CommentText"/>
      </w:pPr>
      <w:r>
        <w:rPr>
          <w:rStyle w:val="CommentReference"/>
        </w:rPr>
        <w:annotationRef/>
      </w:r>
      <w:r>
        <w:t>Since you do not have enough space to discuss this topic elaborately, it is better you delete this section.</w:t>
      </w:r>
    </w:p>
  </w:comment>
  <w:comment w:id="14" w:author="Windows User" w:date="2022-04-21T14:45:00Z" w:initials="WU">
    <w:p w14:paraId="59B71609" w14:textId="56B0BFB7" w:rsidR="0013776A" w:rsidRDefault="0013776A">
      <w:pPr>
        <w:pStyle w:val="CommentText"/>
      </w:pPr>
      <w:r>
        <w:rPr>
          <w:rStyle w:val="CommentReference"/>
        </w:rPr>
        <w:annotationRef/>
      </w:r>
      <w:r>
        <w:t>Delete</w:t>
      </w:r>
    </w:p>
  </w:comment>
  <w:comment w:id="15" w:author="Windows User" w:date="2022-04-21T14:45:00Z" w:initials="WU">
    <w:p w14:paraId="55B7BDB3" w14:textId="7A8B59B9" w:rsidR="0013776A" w:rsidRDefault="0013776A">
      <w:pPr>
        <w:pStyle w:val="CommentText"/>
      </w:pPr>
      <w:r>
        <w:rPr>
          <w:rStyle w:val="CommentReference"/>
        </w:rPr>
        <w:annotationRef/>
      </w:r>
      <w:r>
        <w:t>“were…”</w:t>
      </w:r>
    </w:p>
  </w:comment>
  <w:comment w:id="16" w:author="Windows User" w:date="2022-04-21T14:48:00Z" w:initials="WU">
    <w:p w14:paraId="4EFE129B" w14:textId="0F7818E6" w:rsidR="0013776A" w:rsidRDefault="0013776A">
      <w:pPr>
        <w:pStyle w:val="CommentText"/>
      </w:pPr>
      <w:r>
        <w:rPr>
          <w:rStyle w:val="CommentReference"/>
        </w:rPr>
        <w:annotationRef/>
      </w:r>
      <w:r w:rsidR="005E3645">
        <w:t>The number of participants accounted for in your abstract is 21 (16 and 5). See Paragraph 2 of the abstract. Reconcile the disparity.</w:t>
      </w:r>
    </w:p>
  </w:comment>
  <w:comment w:id="17" w:author="Windows User" w:date="2022-04-28T04:12:00Z" w:initials="WU">
    <w:p w14:paraId="12E20C52" w14:textId="041C5E10" w:rsidR="001101B5" w:rsidRDefault="001101B5">
      <w:pPr>
        <w:pStyle w:val="CommentText"/>
      </w:pPr>
      <w:r>
        <w:rPr>
          <w:rStyle w:val="CommentReference"/>
        </w:rPr>
        <w:annotationRef/>
      </w:r>
      <w:r>
        <w:t>How did you ascertain their educational qualifications?</w:t>
      </w:r>
    </w:p>
  </w:comment>
  <w:comment w:id="18" w:author="Windows User" w:date="2022-04-26T17:29:00Z" w:initials="WU">
    <w:p w14:paraId="32FE3C04" w14:textId="5C361DB4" w:rsidR="00AE6F20" w:rsidRDefault="00AE6F20">
      <w:pPr>
        <w:pStyle w:val="CommentText"/>
      </w:pPr>
      <w:r>
        <w:rPr>
          <w:rStyle w:val="CommentReference"/>
        </w:rPr>
        <w:annotationRef/>
      </w:r>
      <w:r w:rsidR="007E073F">
        <w:t xml:space="preserve">Why is it that there is no mention of the application of DI in your data analysis procedure? </w:t>
      </w:r>
    </w:p>
  </w:comment>
  <w:comment w:id="19" w:author="Windows User" w:date="2022-04-26T17:34:00Z" w:initials="WU">
    <w:p w14:paraId="798BA9B2" w14:textId="53AB9A55" w:rsidR="0098181A" w:rsidRDefault="0098181A">
      <w:pPr>
        <w:pStyle w:val="CommentText"/>
      </w:pPr>
      <w:r>
        <w:rPr>
          <w:rStyle w:val="CommentReference"/>
        </w:rPr>
        <w:annotationRef/>
      </w:r>
      <w:r>
        <w:t>Indicate how many were sentence-final tone units and the number of the non-sentence-final tone units.</w:t>
      </w:r>
    </w:p>
  </w:comment>
  <w:comment w:id="20" w:author="Windows User" w:date="2022-04-26T17:37:00Z" w:initials="WU">
    <w:p w14:paraId="794C8B56" w14:textId="7C15D0B8" w:rsidR="0098181A" w:rsidRDefault="0098181A">
      <w:pPr>
        <w:pStyle w:val="CommentText"/>
      </w:pPr>
      <w:r>
        <w:rPr>
          <w:rStyle w:val="CommentReference"/>
        </w:rPr>
        <w:annotationRef/>
      </w:r>
      <w:r>
        <w:t>Are you concluding already?</w:t>
      </w:r>
    </w:p>
  </w:comment>
  <w:comment w:id="21" w:author="Windows User" w:date="2022-04-26T17:42:00Z" w:initials="WU">
    <w:p w14:paraId="0EFD3995" w14:textId="11CD4A91" w:rsidR="00AB0B8F" w:rsidRDefault="00AB0B8F">
      <w:pPr>
        <w:pStyle w:val="CommentText"/>
      </w:pPr>
      <w:r>
        <w:rPr>
          <w:rStyle w:val="CommentReference"/>
        </w:rPr>
        <w:annotationRef/>
      </w:r>
      <w:r>
        <w:t>Indicate the number of excerpts.</w:t>
      </w:r>
    </w:p>
  </w:comment>
  <w:comment w:id="22" w:author="Windows User" w:date="2022-04-26T17:42:00Z" w:initials="WU">
    <w:p w14:paraId="0BB24AC3" w14:textId="55F5B5C3" w:rsidR="00AB0B8F" w:rsidRDefault="00AB0B8F">
      <w:pPr>
        <w:pStyle w:val="CommentText"/>
      </w:pPr>
      <w:r>
        <w:rPr>
          <w:rStyle w:val="CommentReference"/>
        </w:rPr>
        <w:annotationRef/>
      </w:r>
      <w:r>
        <w:t>Indicate the number of excerpts.</w:t>
      </w:r>
    </w:p>
  </w:comment>
  <w:comment w:id="23" w:author="Windows User" w:date="2022-04-26T17:46:00Z" w:initials="WU">
    <w:p w14:paraId="4E4ADCF8" w14:textId="41D987F9" w:rsidR="00AB0B8F" w:rsidRDefault="00AB0B8F">
      <w:pPr>
        <w:pStyle w:val="CommentText"/>
      </w:pPr>
      <w:r>
        <w:rPr>
          <w:rStyle w:val="CommentReference"/>
        </w:rPr>
        <w:annotationRef/>
      </w:r>
      <w:r>
        <w:t>Let this read: Praat screen capture of “rules and procedures Thursday 26</w:t>
      </w:r>
      <w:r w:rsidRPr="00AB0B8F">
        <w:rPr>
          <w:vertAlign w:val="superscript"/>
        </w:rPr>
        <w:t>th</w:t>
      </w:r>
      <w:r>
        <w:t>, April 2018 is hereby approved”</w:t>
      </w:r>
      <w:r w:rsidR="00E74104">
        <w:t>. Apply this to other spectrograms.</w:t>
      </w:r>
    </w:p>
  </w:comment>
  <w:comment w:id="24" w:author="Windows User" w:date="2022-04-26T17:53:00Z" w:initials="WU">
    <w:p w14:paraId="5F57C630" w14:textId="52A7077A" w:rsidR="00E74104" w:rsidRDefault="00E74104">
      <w:pPr>
        <w:pStyle w:val="CommentText"/>
      </w:pPr>
      <w:r>
        <w:rPr>
          <w:rStyle w:val="CommentReference"/>
        </w:rPr>
        <w:annotationRef/>
      </w:r>
      <w:r>
        <w:t>Let this come before the spectrogram it discusses. The same thing goes for subsequent discussions.</w:t>
      </w:r>
    </w:p>
  </w:comment>
  <w:comment w:id="25" w:author="Windows User" w:date="2022-04-26T18:02:00Z" w:initials="WU">
    <w:p w14:paraId="1BF63FC7" w14:textId="580F8E7A" w:rsidR="001539DB" w:rsidRDefault="001539DB">
      <w:pPr>
        <w:pStyle w:val="CommentText"/>
      </w:pPr>
      <w:r>
        <w:rPr>
          <w:rStyle w:val="CommentReference"/>
        </w:rPr>
        <w:annotationRef/>
      </w:r>
      <w:r>
        <w:t>Use “participant” instead as the word used here may be confused with the head of the House of Reps.</w:t>
      </w:r>
    </w:p>
  </w:comment>
  <w:comment w:id="26" w:author="Windows User" w:date="2022-04-26T18:05:00Z" w:initials="WU">
    <w:p w14:paraId="67D9B89B" w14:textId="6EA82EE6" w:rsidR="001539DB" w:rsidRDefault="001539DB">
      <w:pPr>
        <w:pStyle w:val="CommentText"/>
      </w:pPr>
      <w:r>
        <w:rPr>
          <w:rStyle w:val="CommentReference"/>
        </w:rPr>
        <w:annotationRef/>
      </w:r>
      <w:r>
        <w:t>Decide if you want to use “tone” or “tune” for consistency (see discussion of Figure 7 for instance).</w:t>
      </w:r>
    </w:p>
  </w:comment>
  <w:comment w:id="27" w:author="Windows User" w:date="2022-04-26T18:12:00Z" w:initials="WU">
    <w:p w14:paraId="20992FA2" w14:textId="66FCD56E" w:rsidR="00326190" w:rsidRDefault="00326190">
      <w:pPr>
        <w:pStyle w:val="CommentText"/>
      </w:pPr>
      <w:r>
        <w:rPr>
          <w:rStyle w:val="CommentReference"/>
        </w:rPr>
        <w:annotationRef/>
      </w:r>
      <w:r>
        <w:t>Use “shared knowledge” instead.</w:t>
      </w:r>
    </w:p>
  </w:comment>
  <w:comment w:id="28" w:author="Windows User" w:date="2022-04-27T05:33:00Z" w:initials="WU">
    <w:p w14:paraId="073809A3" w14:textId="0CE878F4" w:rsidR="00FB1F62" w:rsidRDefault="00FB1F62">
      <w:pPr>
        <w:pStyle w:val="CommentText"/>
      </w:pPr>
      <w:r>
        <w:rPr>
          <w:rStyle w:val="CommentReference"/>
        </w:rPr>
        <w:annotationRef/>
      </w:r>
      <w:r w:rsidR="002B21DC">
        <w:t>In the light of the first sentence, t</w:t>
      </w:r>
      <w:r>
        <w:t>his statement is unnecessary. Therefore, delete it.</w:t>
      </w:r>
    </w:p>
  </w:comment>
  <w:comment w:id="29" w:author="Windows User" w:date="2022-04-27T05:53:00Z" w:initials="WU">
    <w:p w14:paraId="3A716177" w14:textId="6AD771D7" w:rsidR="00C65435" w:rsidRDefault="00C65435">
      <w:pPr>
        <w:pStyle w:val="CommentText"/>
      </w:pPr>
      <w:r>
        <w:rPr>
          <w:rStyle w:val="CommentReference"/>
        </w:rPr>
        <w:annotationRef/>
      </w:r>
      <w:r>
        <w:t xml:space="preserve">The tone unit “In my own opinion…” is a </w:t>
      </w:r>
      <w:r w:rsidR="00E91FCB">
        <w:t>signal that something new is coming.</w:t>
      </w:r>
    </w:p>
  </w:comment>
  <w:comment w:id="30" w:author="Windows User" w:date="2022-04-27T06:02:00Z" w:initials="WU">
    <w:p w14:paraId="073E8DAF" w14:textId="537D07E6" w:rsidR="00E91FCB" w:rsidRDefault="00E91FCB">
      <w:pPr>
        <w:pStyle w:val="CommentText"/>
      </w:pPr>
      <w:r>
        <w:rPr>
          <w:rStyle w:val="CommentReference"/>
        </w:rPr>
        <w:annotationRef/>
      </w:r>
      <w:r>
        <w:t>What is the significance of the capitalisation here and elsewhere?</w:t>
      </w:r>
    </w:p>
  </w:comment>
  <w:comment w:id="32" w:author="Windows User" w:date="2022-04-27T06:17:00Z" w:initials="WU">
    <w:p w14:paraId="04923748" w14:textId="66A59B9B" w:rsidR="003D323B" w:rsidRDefault="003D323B">
      <w:pPr>
        <w:pStyle w:val="CommentText"/>
      </w:pPr>
      <w:r>
        <w:rPr>
          <w:rStyle w:val="CommentReference"/>
        </w:rPr>
        <w:annotationRef/>
      </w:r>
      <w:r>
        <w:t>Remove this from this paper. It can be the subject matter of another paper.</w:t>
      </w:r>
    </w:p>
  </w:comment>
  <w:comment w:id="33" w:author="Windows User" w:date="2022-04-28T04:23:00Z" w:initials="WU">
    <w:p w14:paraId="6844FB0E" w14:textId="384FEF47" w:rsidR="00A37790" w:rsidRDefault="00A37790">
      <w:pPr>
        <w:pStyle w:val="CommentText"/>
      </w:pPr>
      <w:r>
        <w:rPr>
          <w:rStyle w:val="CommentReference"/>
        </w:rPr>
        <w:annotationRef/>
      </w:r>
      <w:r>
        <w:t>Let this read “Variety III which is used by speakers with university education is close to RP.”</w:t>
      </w:r>
    </w:p>
  </w:comment>
  <w:comment w:id="34" w:author="Windows User" w:date="2022-04-28T04:24:00Z" w:initials="WU">
    <w:p w14:paraId="6D9B5400" w14:textId="47617652" w:rsidR="00A37790" w:rsidRDefault="00A37790">
      <w:pPr>
        <w:pStyle w:val="CommentText"/>
      </w:pPr>
      <w:r>
        <w:rPr>
          <w:rStyle w:val="CommentReference"/>
        </w:rPr>
        <w:annotationRef/>
      </w:r>
      <w:r>
        <w:t>How did you get this information?</w:t>
      </w:r>
    </w:p>
  </w:comment>
  <w:comment w:id="35" w:author="Windows User" w:date="2022-04-28T04:05:00Z" w:initials="WU">
    <w:p w14:paraId="1330E71A" w14:textId="5C47BA2E" w:rsidR="001101B5" w:rsidRDefault="001101B5">
      <w:pPr>
        <w:pStyle w:val="CommentText"/>
      </w:pPr>
      <w:r>
        <w:rPr>
          <w:rStyle w:val="CommentReference"/>
        </w:rPr>
        <w:annotationRef/>
      </w:r>
      <w:r>
        <w:t>Delete</w:t>
      </w:r>
    </w:p>
  </w:comment>
  <w:comment w:id="36" w:author="Windows User" w:date="2022-04-28T04:26:00Z" w:initials="WU">
    <w:p w14:paraId="17AF52A1" w14:textId="4AC715DB" w:rsidR="004024BD" w:rsidRDefault="004024BD">
      <w:pPr>
        <w:pStyle w:val="CommentText"/>
      </w:pPr>
      <w:r>
        <w:rPr>
          <w:rStyle w:val="CommentReference"/>
        </w:rPr>
        <w:annotationRef/>
      </w:r>
      <w:r>
        <w:t>This contradicts your conclusion in the first two sentences in the preceding paragraph.</w:t>
      </w:r>
    </w:p>
  </w:comment>
  <w:comment w:id="37" w:author="Windows User" w:date="2022-04-28T04:30:00Z" w:initials="WU">
    <w:p w14:paraId="458940C1" w14:textId="3C2A1FD6" w:rsidR="004024BD" w:rsidRDefault="004024BD">
      <w:pPr>
        <w:pStyle w:val="CommentText"/>
      </w:pPr>
      <w:r>
        <w:rPr>
          <w:rStyle w:val="CommentReference"/>
        </w:rPr>
        <w:annotationRef/>
      </w:r>
      <w:r>
        <w:t>Delete this section.</w:t>
      </w:r>
    </w:p>
  </w:comment>
  <w:comment w:id="38" w:author="Windows User" w:date="2022-04-28T04:33:00Z" w:initials="WU">
    <w:p w14:paraId="2040DFFD" w14:textId="58E5BEDC" w:rsidR="000B0E38" w:rsidRDefault="000B0E38">
      <w:pPr>
        <w:pStyle w:val="CommentText"/>
      </w:pPr>
      <w:r>
        <w:rPr>
          <w:rStyle w:val="CommentReference"/>
        </w:rPr>
        <w:annotationRef/>
      </w:r>
      <w:r>
        <w:t>You need to reconcile the contradiction in Section 5 (Conclusion) before you can make appropriate recommendation</w:t>
      </w:r>
      <w:r w:rsidR="00DD0BD6">
        <w:t>(</w:t>
      </w:r>
      <w:r>
        <w:t>s</w:t>
      </w:r>
      <w:r w:rsidR="00DD0BD6">
        <w:t>)</w:t>
      </w:r>
      <w:r>
        <w:t xml:space="preserve">. Your recommendation(s) can form the final sentence(s) of the </w:t>
      </w:r>
      <w:r w:rsidR="00DD0BD6">
        <w:t>concluding section, not necessarily a section on its own.</w:t>
      </w:r>
      <w:r>
        <w:t xml:space="preserve">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E29134A" w15:done="0"/>
  <w15:commentEx w15:paraId="495CBFD9" w15:done="0"/>
  <w15:commentEx w15:paraId="55B886C6" w15:done="0"/>
  <w15:commentEx w15:paraId="602748F1" w15:done="0"/>
  <w15:commentEx w15:paraId="13BAE69A" w15:done="0"/>
  <w15:commentEx w15:paraId="73E27728" w15:done="0"/>
  <w15:commentEx w15:paraId="3EE4FFA3" w15:done="0"/>
  <w15:commentEx w15:paraId="641A9A47" w15:done="0"/>
  <w15:commentEx w15:paraId="0D7048E9" w15:done="0"/>
  <w15:commentEx w15:paraId="5143D63D" w15:done="0"/>
  <w15:commentEx w15:paraId="3DC47422" w15:done="0"/>
  <w15:commentEx w15:paraId="61F32C46" w15:done="0"/>
  <w15:commentEx w15:paraId="40C55F12" w15:done="0"/>
  <w15:commentEx w15:paraId="7A27832A" w15:done="0"/>
  <w15:commentEx w15:paraId="59B71609" w15:done="0"/>
  <w15:commentEx w15:paraId="55B7BDB3" w15:done="0"/>
  <w15:commentEx w15:paraId="4EFE129B" w15:done="0"/>
  <w15:commentEx w15:paraId="12E20C52" w15:done="0"/>
  <w15:commentEx w15:paraId="32FE3C04" w15:done="0"/>
  <w15:commentEx w15:paraId="798BA9B2" w15:done="0"/>
  <w15:commentEx w15:paraId="794C8B56" w15:done="0"/>
  <w15:commentEx w15:paraId="0EFD3995" w15:done="0"/>
  <w15:commentEx w15:paraId="0BB24AC3" w15:done="0"/>
  <w15:commentEx w15:paraId="4E4ADCF8" w15:done="0"/>
  <w15:commentEx w15:paraId="5F57C630" w15:done="0"/>
  <w15:commentEx w15:paraId="1BF63FC7" w15:done="0"/>
  <w15:commentEx w15:paraId="67D9B89B" w15:done="0"/>
  <w15:commentEx w15:paraId="20992FA2" w15:done="0"/>
  <w15:commentEx w15:paraId="073809A3" w15:done="0"/>
  <w15:commentEx w15:paraId="3A716177" w15:done="0"/>
  <w15:commentEx w15:paraId="073E8DAF" w15:done="0"/>
  <w15:commentEx w15:paraId="04923748" w15:done="0"/>
  <w15:commentEx w15:paraId="6844FB0E" w15:done="0"/>
  <w15:commentEx w15:paraId="6D9B5400" w15:done="0"/>
  <w15:commentEx w15:paraId="1330E71A" w15:done="0"/>
  <w15:commentEx w15:paraId="17AF52A1" w15:done="0"/>
  <w15:commentEx w15:paraId="458940C1" w15:done="0"/>
  <w15:commentEx w15:paraId="2040DFF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B69D6A" w14:textId="77777777" w:rsidR="00444152" w:rsidRDefault="00444152">
      <w:pPr>
        <w:spacing w:line="240" w:lineRule="auto"/>
      </w:pPr>
      <w:r>
        <w:separator/>
      </w:r>
    </w:p>
  </w:endnote>
  <w:endnote w:type="continuationSeparator" w:id="0">
    <w:p w14:paraId="65AACBD0" w14:textId="77777777" w:rsidR="00444152" w:rsidRDefault="004441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1B480F" w14:textId="77777777" w:rsidR="00444152" w:rsidRDefault="00444152">
      <w:pPr>
        <w:spacing w:after="0" w:line="240" w:lineRule="auto"/>
      </w:pPr>
      <w:r>
        <w:separator/>
      </w:r>
    </w:p>
  </w:footnote>
  <w:footnote w:type="continuationSeparator" w:id="0">
    <w:p w14:paraId="4D6E18A3" w14:textId="77777777" w:rsidR="00444152" w:rsidRDefault="004441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9633B9"/>
    <w:multiLevelType w:val="multilevel"/>
    <w:tmpl w:val="379633B9"/>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F6C4226"/>
    <w:multiLevelType w:val="multilevel"/>
    <w:tmpl w:val="6F6C422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Windows User">
    <w15:presenceInfo w15:providerId="None" w15:userId="Windows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rC0sDA2MTMyNbKwNDBS0lEKTi0uzszPAykwrAUARzdDjiwAAAA="/>
  </w:docVars>
  <w:rsids>
    <w:rsidRoot w:val="005268F1"/>
    <w:rsid w:val="00056976"/>
    <w:rsid w:val="00064391"/>
    <w:rsid w:val="00075D20"/>
    <w:rsid w:val="000A5726"/>
    <w:rsid w:val="000B0E38"/>
    <w:rsid w:val="000C6708"/>
    <w:rsid w:val="000D22AB"/>
    <w:rsid w:val="000D5CBD"/>
    <w:rsid w:val="001101B5"/>
    <w:rsid w:val="00112816"/>
    <w:rsid w:val="0012415C"/>
    <w:rsid w:val="00125BCE"/>
    <w:rsid w:val="0013776A"/>
    <w:rsid w:val="001539DB"/>
    <w:rsid w:val="00173680"/>
    <w:rsid w:val="0018494A"/>
    <w:rsid w:val="001A2667"/>
    <w:rsid w:val="001B6187"/>
    <w:rsid w:val="001D7346"/>
    <w:rsid w:val="0022269F"/>
    <w:rsid w:val="00224D5A"/>
    <w:rsid w:val="00235A7B"/>
    <w:rsid w:val="00247B43"/>
    <w:rsid w:val="00250635"/>
    <w:rsid w:val="00290A44"/>
    <w:rsid w:val="00296975"/>
    <w:rsid w:val="002B2188"/>
    <w:rsid w:val="002B21DC"/>
    <w:rsid w:val="002B5E44"/>
    <w:rsid w:val="00316177"/>
    <w:rsid w:val="00316B4B"/>
    <w:rsid w:val="003245F0"/>
    <w:rsid w:val="00326190"/>
    <w:rsid w:val="0033248F"/>
    <w:rsid w:val="00337BD8"/>
    <w:rsid w:val="00367BF3"/>
    <w:rsid w:val="003870E8"/>
    <w:rsid w:val="003D090C"/>
    <w:rsid w:val="003D323B"/>
    <w:rsid w:val="003E64F9"/>
    <w:rsid w:val="003F5106"/>
    <w:rsid w:val="004024BD"/>
    <w:rsid w:val="004139E1"/>
    <w:rsid w:val="0044332E"/>
    <w:rsid w:val="00444152"/>
    <w:rsid w:val="00446746"/>
    <w:rsid w:val="0047223D"/>
    <w:rsid w:val="00475F9B"/>
    <w:rsid w:val="00490956"/>
    <w:rsid w:val="00490BD5"/>
    <w:rsid w:val="004D071D"/>
    <w:rsid w:val="005268F1"/>
    <w:rsid w:val="00532B69"/>
    <w:rsid w:val="005405ED"/>
    <w:rsid w:val="00545F15"/>
    <w:rsid w:val="0054672B"/>
    <w:rsid w:val="005634A5"/>
    <w:rsid w:val="00583D82"/>
    <w:rsid w:val="005A6D7A"/>
    <w:rsid w:val="005C2502"/>
    <w:rsid w:val="005C7145"/>
    <w:rsid w:val="005E3645"/>
    <w:rsid w:val="00603534"/>
    <w:rsid w:val="00663266"/>
    <w:rsid w:val="00672862"/>
    <w:rsid w:val="00674323"/>
    <w:rsid w:val="00681A85"/>
    <w:rsid w:val="006E4947"/>
    <w:rsid w:val="0071499C"/>
    <w:rsid w:val="0073517D"/>
    <w:rsid w:val="00764616"/>
    <w:rsid w:val="0076643C"/>
    <w:rsid w:val="00792CB9"/>
    <w:rsid w:val="007B49E1"/>
    <w:rsid w:val="007C558D"/>
    <w:rsid w:val="007D0887"/>
    <w:rsid w:val="007D09C8"/>
    <w:rsid w:val="007E010B"/>
    <w:rsid w:val="007E073F"/>
    <w:rsid w:val="007E2E36"/>
    <w:rsid w:val="00806BD4"/>
    <w:rsid w:val="008812D0"/>
    <w:rsid w:val="00887E51"/>
    <w:rsid w:val="00892C70"/>
    <w:rsid w:val="008B5BD4"/>
    <w:rsid w:val="008E10AB"/>
    <w:rsid w:val="008E5EEB"/>
    <w:rsid w:val="00936EF2"/>
    <w:rsid w:val="009763DA"/>
    <w:rsid w:val="0098181A"/>
    <w:rsid w:val="009A1E35"/>
    <w:rsid w:val="009B6D3F"/>
    <w:rsid w:val="009C269C"/>
    <w:rsid w:val="009D691D"/>
    <w:rsid w:val="009F2F28"/>
    <w:rsid w:val="009F5A22"/>
    <w:rsid w:val="00A02530"/>
    <w:rsid w:val="00A027C5"/>
    <w:rsid w:val="00A24D75"/>
    <w:rsid w:val="00A37790"/>
    <w:rsid w:val="00A4484F"/>
    <w:rsid w:val="00A87190"/>
    <w:rsid w:val="00A95257"/>
    <w:rsid w:val="00AB0B8F"/>
    <w:rsid w:val="00AB44A6"/>
    <w:rsid w:val="00AD75E7"/>
    <w:rsid w:val="00AE0F79"/>
    <w:rsid w:val="00AE6F20"/>
    <w:rsid w:val="00AF3EE7"/>
    <w:rsid w:val="00B63C3E"/>
    <w:rsid w:val="00B77E95"/>
    <w:rsid w:val="00B86C5B"/>
    <w:rsid w:val="00BA1052"/>
    <w:rsid w:val="00BA295D"/>
    <w:rsid w:val="00BA7693"/>
    <w:rsid w:val="00BD64D5"/>
    <w:rsid w:val="00C16845"/>
    <w:rsid w:val="00C32A36"/>
    <w:rsid w:val="00C42A95"/>
    <w:rsid w:val="00C53D0D"/>
    <w:rsid w:val="00C603F7"/>
    <w:rsid w:val="00C65435"/>
    <w:rsid w:val="00C70D3B"/>
    <w:rsid w:val="00C72FE6"/>
    <w:rsid w:val="00C84ACC"/>
    <w:rsid w:val="00C8662E"/>
    <w:rsid w:val="00CA0CB8"/>
    <w:rsid w:val="00D11532"/>
    <w:rsid w:val="00D230F1"/>
    <w:rsid w:val="00D23869"/>
    <w:rsid w:val="00D44976"/>
    <w:rsid w:val="00D4698C"/>
    <w:rsid w:val="00D8151F"/>
    <w:rsid w:val="00DD0BD6"/>
    <w:rsid w:val="00E52BF9"/>
    <w:rsid w:val="00E53EE8"/>
    <w:rsid w:val="00E74104"/>
    <w:rsid w:val="00E91FCB"/>
    <w:rsid w:val="00F06C74"/>
    <w:rsid w:val="00F62368"/>
    <w:rsid w:val="00F63EDA"/>
    <w:rsid w:val="00FA4125"/>
    <w:rsid w:val="00FB1F62"/>
    <w:rsid w:val="00FB4B99"/>
    <w:rsid w:val="00FC46A7"/>
    <w:rsid w:val="00FD1A8A"/>
    <w:rsid w:val="29DC67D5"/>
    <w:rsid w:val="32E76B98"/>
    <w:rsid w:val="35432E10"/>
    <w:rsid w:val="71CE6576"/>
    <w:rsid w:val="7AB678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7B71E"/>
  <w15:docId w15:val="{8DF1AA26-DBFD-7942-BB70-9C816151F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aa-ET"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character" w:styleId="Emphasis">
    <w:name w:val="Emphasis"/>
    <w:basedOn w:val="DefaultParagraphFont"/>
    <w:uiPriority w:val="20"/>
    <w:qFormat/>
    <w:rPr>
      <w:i/>
      <w:iCs/>
    </w:rPr>
  </w:style>
  <w:style w:type="character" w:styleId="Hyperlink">
    <w:name w:val="Hyperlink"/>
    <w:basedOn w:val="DefaultParagraphFont"/>
    <w:uiPriority w:val="99"/>
    <w:unhideWhenUsed/>
    <w:qFormat/>
    <w:rPr>
      <w:color w:val="0000FF"/>
      <w:u w:val="single"/>
    </w:rPr>
  </w:style>
  <w:style w:type="paragraph" w:styleId="NoSpacing">
    <w:name w:val="No Spacing"/>
    <w:uiPriority w:val="1"/>
    <w:qFormat/>
    <w:rPr>
      <w:sz w:val="22"/>
      <w:szCs w:val="22"/>
      <w:lang w:val="en-GB" w:eastAsia="en-US"/>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st">
    <w:name w:val="st"/>
    <w:basedOn w:val="DefaultParagraphFont"/>
    <w:qFormat/>
  </w:style>
  <w:style w:type="character" w:styleId="CommentReference">
    <w:name w:val="annotation reference"/>
    <w:basedOn w:val="DefaultParagraphFont"/>
    <w:uiPriority w:val="99"/>
    <w:semiHidden/>
    <w:unhideWhenUsed/>
    <w:rsid w:val="00B86C5B"/>
    <w:rPr>
      <w:sz w:val="16"/>
      <w:szCs w:val="16"/>
    </w:rPr>
  </w:style>
  <w:style w:type="paragraph" w:styleId="CommentText">
    <w:name w:val="annotation text"/>
    <w:basedOn w:val="Normal"/>
    <w:link w:val="CommentTextChar"/>
    <w:uiPriority w:val="99"/>
    <w:semiHidden/>
    <w:unhideWhenUsed/>
    <w:rsid w:val="00B86C5B"/>
    <w:pPr>
      <w:spacing w:line="240" w:lineRule="auto"/>
    </w:pPr>
    <w:rPr>
      <w:sz w:val="20"/>
      <w:szCs w:val="20"/>
    </w:rPr>
  </w:style>
  <w:style w:type="character" w:customStyle="1" w:styleId="CommentTextChar">
    <w:name w:val="Comment Text Char"/>
    <w:basedOn w:val="DefaultParagraphFont"/>
    <w:link w:val="CommentText"/>
    <w:uiPriority w:val="99"/>
    <w:semiHidden/>
    <w:rsid w:val="00B86C5B"/>
    <w:rPr>
      <w:lang w:val="en-GB" w:eastAsia="en-US"/>
    </w:rPr>
  </w:style>
  <w:style w:type="paragraph" w:styleId="CommentSubject">
    <w:name w:val="annotation subject"/>
    <w:basedOn w:val="CommentText"/>
    <w:next w:val="CommentText"/>
    <w:link w:val="CommentSubjectChar"/>
    <w:uiPriority w:val="99"/>
    <w:semiHidden/>
    <w:unhideWhenUsed/>
    <w:rsid w:val="00B86C5B"/>
    <w:rPr>
      <w:b/>
      <w:bCs/>
    </w:rPr>
  </w:style>
  <w:style w:type="character" w:customStyle="1" w:styleId="CommentSubjectChar">
    <w:name w:val="Comment Subject Char"/>
    <w:basedOn w:val="CommentTextChar"/>
    <w:link w:val="CommentSubject"/>
    <w:uiPriority w:val="99"/>
    <w:semiHidden/>
    <w:rsid w:val="00B86C5B"/>
    <w:rPr>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hyperlink" Target="http://pitch.phon.ucl.ac.uk/home/shl9/ufom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image" Target="media/image1.png"/><Relationship Id="rId19" Type="http://schemas.openxmlformats.org/officeDocument/2006/relationships/image" Target="media/image10.png"/><Relationship Id="rId31" Type="http://schemas.microsoft.com/office/2011/relationships/people" Target="peop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345</TotalTime>
  <Pages>1</Pages>
  <Words>4514</Words>
  <Characters>25731</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Windows User</cp:lastModifiedBy>
  <cp:revision>21</cp:revision>
  <dcterms:created xsi:type="dcterms:W3CDTF">2022-04-11T12:59:00Z</dcterms:created>
  <dcterms:modified xsi:type="dcterms:W3CDTF">2022-04-28T12:55:00Z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1033-11.2.0.10223</vt:lpwstr>
  </property>
</Properties>
</file>