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both"/>
        <w:rPr>
          <w:rFonts w:ascii="Times New Roman Bold" w:cs="Times New Roman Bold" w:hAnsi="Times New Roman Bold" w:eastAsia="Times New Roman Bold"/>
        </w:rPr>
      </w:pPr>
      <w:r>
        <w:rPr>
          <w:rFonts w:ascii="Times New Roman Bold"/>
          <w:sz w:val="24"/>
          <w:szCs w:val="24"/>
          <w:rtl w:val="0"/>
          <w:lang w:val="en-US"/>
        </w:rPr>
        <w:t>Multilingualism and Language Barriers in Health Delivery system in Ghana</w:t>
      </w:r>
    </w:p>
    <w:p>
      <w:pPr>
        <w:pStyle w:val="Body A"/>
        <w:jc w:val="both"/>
        <w:rPr>
          <w:i w:val="1"/>
          <w:iCs w:val="1"/>
        </w:rPr>
      </w:pPr>
      <w:r>
        <w:rPr>
          <w:sz w:val="24"/>
          <w:szCs w:val="24"/>
          <w:rtl w:val="0"/>
        </w:rPr>
        <w:tab/>
        <w:tab/>
        <w:tab/>
      </w:r>
    </w:p>
    <w:p>
      <w:pPr>
        <w:pStyle w:val="Body A"/>
        <w:jc w:val="both"/>
        <w:rPr>
          <w:rFonts w:ascii="Times New Roman Bold" w:cs="Times New Roman Bold" w:hAnsi="Times New Roman Bold" w:eastAsia="Times New Roman Bold"/>
        </w:rPr>
      </w:pPr>
      <w:r>
        <w:rPr>
          <w:rFonts w:ascii="Times New Roman Bold"/>
          <w:sz w:val="24"/>
          <w:szCs w:val="24"/>
          <w:rtl w:val="0"/>
          <w:lang w:val="de-DE"/>
        </w:rPr>
        <w:t>Abstract</w:t>
      </w:r>
    </w:p>
    <w:p>
      <w:pPr>
        <w:pStyle w:val="Body A"/>
        <w:jc w:val="both"/>
        <w:rPr>
          <w:i w:val="1"/>
          <w:iCs w:val="1"/>
        </w:rPr>
      </w:pPr>
      <w:r>
        <w:rPr>
          <w:i w:val="1"/>
          <w:iCs w:val="1"/>
          <w:sz w:val="24"/>
          <w:szCs w:val="24"/>
          <w:rtl w:val="0"/>
          <w:lang w:val="en-US"/>
        </w:rPr>
        <w:t>In this paper, we explore language differences</w:t>
      </w:r>
      <w:r>
        <w:rPr>
          <w:i w:val="1"/>
          <w:iCs w:val="1"/>
          <w:sz w:val="24"/>
          <w:szCs w:val="24"/>
          <w:rtl w:val="0"/>
          <w:lang w:val="en-US"/>
        </w:rPr>
        <w:t xml:space="preserve"> in health worker-patient interaction</w:t>
      </w:r>
      <w:r>
        <w:rPr>
          <w:i w:val="1"/>
          <w:iCs w:val="1"/>
          <w:sz w:val="24"/>
          <w:szCs w:val="24"/>
          <w:rtl w:val="0"/>
          <w:lang w:val="en-US"/>
        </w:rPr>
        <w:t xml:space="preserve"> as a potential barrier to quality and safe healthcare delivery among urban populations in Ghana. Two sets of data were collected through survey to identify the language (s) of health communication in urban Ghana</w:t>
      </w:r>
      <w:r>
        <w:rPr>
          <w:i w:val="1"/>
          <w:iCs w:val="1"/>
          <w:sz w:val="24"/>
          <w:szCs w:val="24"/>
          <w:rtl w:val="0"/>
          <w:lang w:val="en-US"/>
        </w:rPr>
        <w:t xml:space="preserve"> </w:t>
      </w:r>
      <w:r>
        <w:rPr>
          <w:i w:val="1"/>
          <w:iCs w:val="1"/>
          <w:rtl w:val="0"/>
          <w:lang w:val="en-US"/>
        </w:rPr>
        <w:t>where linguistic diversity is densest</w:t>
      </w:r>
      <w:r>
        <w:rPr>
          <w:i w:val="1"/>
          <w:iCs w:val="1"/>
          <w:rtl w:val="0"/>
          <w:lang w:val="en-US"/>
        </w:rPr>
        <w:t>.</w:t>
      </w:r>
      <w:r>
        <w:rPr>
          <w:i w:val="1"/>
          <w:iCs w:val="1"/>
          <w:sz w:val="24"/>
          <w:szCs w:val="24"/>
          <w:rtl w:val="0"/>
          <w:lang w:val="en-US"/>
        </w:rPr>
        <w:t xml:space="preserve"> While the first set of data were collected from a cross section of urban patient population in Ghana (Accra and Kasoa), the second set of data were collected from an online survey of health workers across a number of regions in Ghana. The data which were analyzed mainly using descriptive statistics revealed that even though both patient and health worker participants self-reported as coming from varying ethnolinguistic backgrounds (speaking many different L1s), 65% of the patient population reported as accessing healthcare in a second language, mainly English </w:t>
      </w:r>
      <w:r>
        <w:rPr>
          <w:i w:val="1"/>
          <w:iCs w:val="1"/>
          <w:sz w:val="24"/>
          <w:szCs w:val="24"/>
          <w:rtl w:val="0"/>
          <w:lang w:val="en-US"/>
        </w:rPr>
        <w:t>or</w:t>
      </w:r>
      <w:r>
        <w:rPr>
          <w:i w:val="1"/>
          <w:iCs w:val="1"/>
          <w:sz w:val="24"/>
          <w:szCs w:val="24"/>
          <w:rtl w:val="0"/>
          <w:lang w:val="en-US"/>
        </w:rPr>
        <w:t xml:space="preserve"> Akan, while 70% of health worker participants reported as using only two languages, English and Akan, in providing health care services to an obviously highly multilingual population. This</w:t>
      </w:r>
      <w:r>
        <w:rPr>
          <w:i w:val="1"/>
          <w:iCs w:val="1"/>
          <w:sz w:val="24"/>
          <w:szCs w:val="24"/>
          <w:rtl w:val="0"/>
          <w:lang w:val="en-US"/>
        </w:rPr>
        <w:t xml:space="preserve"> situation</w:t>
      </w:r>
      <w:r>
        <w:rPr>
          <w:i w:val="1"/>
          <w:iCs w:val="1"/>
          <w:sz w:val="24"/>
          <w:szCs w:val="24"/>
          <w:rtl w:val="0"/>
          <w:lang w:val="en-US"/>
        </w:rPr>
        <w:t xml:space="preserve"> has a potential to cause language barrier and raise miscommunication in the healthcare delivery process in urban Ghana. This paper, therefore, calls on the health authorities in Ghana, e.g. Ministry of Health, Department of Public Health, in Ghana to pay (more) attention to the language needs of urban/multilingual populations in ensuring quality and safe healthcare delivery in Ghana. </w:t>
      </w:r>
    </w:p>
    <w:p>
      <w:pPr>
        <w:pStyle w:val="Body A"/>
        <w:jc w:val="both"/>
        <w:rPr>
          <w:i w:val="1"/>
          <w:iCs w:val="1"/>
        </w:rPr>
      </w:pPr>
    </w:p>
    <w:p>
      <w:pPr>
        <w:pStyle w:val="Body A"/>
        <w:jc w:val="both"/>
        <w:rPr>
          <w:i w:val="1"/>
          <w:iCs w:val="1"/>
        </w:rPr>
      </w:pPr>
    </w:p>
    <w:p>
      <w:pPr>
        <w:pStyle w:val="Body A"/>
        <w:jc w:val="both"/>
        <w:rPr>
          <w:rFonts w:ascii="Times New Roman Bold" w:cs="Times New Roman Bold" w:hAnsi="Times New Roman Bold" w:eastAsia="Times New Roman Bold"/>
        </w:rPr>
      </w:pPr>
      <w:r>
        <w:rPr>
          <w:rFonts w:ascii="Times New Roman Bold"/>
          <w:sz w:val="24"/>
          <w:szCs w:val="24"/>
          <w:rtl w:val="0"/>
          <w:lang w:val="en-US"/>
        </w:rPr>
        <w:t>1. Introduction and Background</w:t>
      </w:r>
    </w:p>
    <w:p>
      <w:pPr>
        <w:pStyle w:val="Body A"/>
        <w:jc w:val="both"/>
        <w:rPr>
          <w:sz w:val="24"/>
          <w:szCs w:val="24"/>
          <w:rtl w:val="0"/>
        </w:rPr>
      </w:pPr>
      <w:r>
        <w:rPr>
          <w:sz w:val="24"/>
          <w:szCs w:val="24"/>
          <w:rtl w:val="0"/>
          <w:lang w:val="en-US"/>
        </w:rPr>
        <w:t xml:space="preserve">There is a growing concern among researchers in the health sciences, e.g. medicine, nursing, and health care policy, regarding the need to pay more attention to the role of language in healthcare and healthcare delivery around the world. Whereas Schyve (2007) has identified language differences between health workers and patients as a barrier to quality and safety in healthcare, Scheie et al (2016) have called for the need to understand and mitigate language barriers in healthcare delivery. This, they argue, is because, </w:t>
      </w:r>
      <w:r>
        <w:rPr>
          <w:rFonts w:hAnsi="Times New Roman" w:hint="default"/>
          <w:sz w:val="24"/>
          <w:szCs w:val="24"/>
          <w:rtl w:val="0"/>
          <w:lang w:val="de-DE"/>
        </w:rPr>
        <w:t>“</w:t>
      </w:r>
      <w:r>
        <w:rPr>
          <w:sz w:val="24"/>
          <w:szCs w:val="24"/>
          <w:rtl w:val="0"/>
          <w:lang w:val="en-US"/>
        </w:rPr>
        <w:t>language barriers adversely affect patients in their access to health services, comprehension and adherence, quality of care, and patient and provider satisfaction</w:t>
      </w:r>
      <w:r>
        <w:rPr>
          <w:rFonts w:hAnsi="Times New Roman" w:hint="default"/>
          <w:sz w:val="24"/>
          <w:szCs w:val="24"/>
          <w:rtl w:val="0"/>
          <w:lang w:val="en-US"/>
        </w:rPr>
        <w:t>”</w:t>
      </w:r>
      <w:r>
        <w:rPr>
          <w:sz w:val="24"/>
          <w:szCs w:val="24"/>
          <w:rtl w:val="0"/>
          <w:lang w:val="en-US"/>
        </w:rPr>
        <w:t xml:space="preserve">. </w:t>
      </w:r>
    </w:p>
    <w:p>
      <w:pPr>
        <w:pStyle w:val="Body A"/>
        <w:jc w:val="both"/>
        <w:rPr>
          <w:sz w:val="24"/>
          <w:szCs w:val="24"/>
          <w:u w:color="404042"/>
          <w:shd w:val="clear" w:color="auto" w:fill="ffffff"/>
          <w:rtl w:val="0"/>
          <w:lang w:val="en-US"/>
        </w:rPr>
      </w:pPr>
      <w:r>
        <w:rPr>
          <w:sz w:val="24"/>
          <w:szCs w:val="24"/>
          <w:rtl w:val="0"/>
          <w:lang w:val="en-US"/>
        </w:rPr>
        <w:t xml:space="preserve">Schyve (2007) has argued that effective communication between healthcare practitioners and patients is a core component of healthcare, describing healthcare as information management, where the collection of accurate and comprehensive patient-specific data is the basis for proper diagnosis and prognosis. Schyve (2007) continues to argue that when patients access healthcare in a language they have limited proficiency in and are treated by healthcare professionals who have proficiency in only one language, there is a threat to effective communication in the healthcare delivery process. Indeed, Meuter et al (2015) opine that language barrier can lead to, and often leads to miscommunication in healthcare delivery, and that such miscommunications can be life threatening. According to Adams and Fleck (2015), </w:t>
      </w:r>
      <w:r>
        <w:rPr>
          <w:sz w:val="24"/>
          <w:szCs w:val="24"/>
          <w:rtl w:val="0"/>
          <w:lang w:val="de-DE"/>
        </w:rPr>
        <w:t>i</w:t>
      </w:r>
      <w:r>
        <w:rPr>
          <w:sz w:val="24"/>
          <w:szCs w:val="24"/>
          <w:u w:color="333333"/>
          <w:shd w:val="clear" w:color="auto" w:fill="ffffff"/>
          <w:rtl w:val="0"/>
          <w:lang w:val="en-US"/>
        </w:rPr>
        <w:t>n public health, the linguistic disconnect between those providing health information and those who need that information affects not only clinicians and patients but also public health managers and policy-makers.</w:t>
      </w:r>
      <w:r>
        <w:rPr>
          <w:sz w:val="24"/>
          <w:szCs w:val="24"/>
          <w:u w:color="404042"/>
          <w:shd w:val="clear" w:color="auto" w:fill="ffffff"/>
          <w:rtl w:val="0"/>
          <w:lang w:val="en-US"/>
        </w:rPr>
        <w:t xml:space="preserve"> In the words of Youdelman (2008), </w:t>
      </w:r>
      <w:r>
        <w:rPr>
          <w:rFonts w:hAnsi="Times New Roman" w:hint="default"/>
          <w:sz w:val="24"/>
          <w:szCs w:val="24"/>
          <w:u w:color="404042"/>
          <w:shd w:val="clear" w:color="auto" w:fill="ffffff"/>
          <w:rtl w:val="0"/>
          <w:lang w:val="de-DE"/>
        </w:rPr>
        <w:t>“</w:t>
      </w:r>
      <w:r>
        <w:rPr>
          <w:sz w:val="24"/>
          <w:szCs w:val="24"/>
          <w:u w:color="404042"/>
          <w:shd w:val="clear" w:color="auto" w:fill="ffffff"/>
          <w:rtl w:val="0"/>
          <w:lang w:val="en-US"/>
        </w:rPr>
        <w:t>language barriers lead to lower quality of and worse access to health care</w:t>
      </w:r>
      <w:r>
        <w:rPr>
          <w:rFonts w:hAnsi="Times New Roman" w:hint="default"/>
          <w:sz w:val="24"/>
          <w:szCs w:val="24"/>
          <w:u w:color="404042"/>
          <w:shd w:val="clear" w:color="auto" w:fill="ffffff"/>
          <w:rtl w:val="0"/>
          <w:lang w:val="en-US"/>
        </w:rPr>
        <w:t>”</w:t>
      </w:r>
      <w:r>
        <w:rPr>
          <w:sz w:val="24"/>
          <w:szCs w:val="24"/>
          <w:u w:color="404042"/>
          <w:shd w:val="clear" w:color="auto" w:fill="ffffff"/>
          <w:rtl w:val="0"/>
          <w:lang w:val="en-US"/>
        </w:rPr>
        <w:t>.</w:t>
      </w:r>
      <w:r>
        <w:rPr>
          <w:rFonts w:hAnsi="Times New Roman" w:hint="default"/>
          <w:sz w:val="24"/>
          <w:szCs w:val="24"/>
          <w:u w:color="404042"/>
          <w:shd w:val="clear" w:color="auto" w:fill="ffffff"/>
          <w:rtl w:val="0"/>
          <w:lang w:val="en-US"/>
        </w:rPr>
        <w:t> </w:t>
      </w:r>
    </w:p>
    <w:p>
      <w:pPr>
        <w:pStyle w:val="Body A"/>
        <w:jc w:val="both"/>
        <w:rPr>
          <w:sz w:val="24"/>
          <w:szCs w:val="24"/>
          <w:rtl w:val="0"/>
        </w:rPr>
      </w:pPr>
      <w:r>
        <w:rPr>
          <w:sz w:val="24"/>
          <w:szCs w:val="24"/>
          <w:rtl w:val="0"/>
          <w:lang w:val="en-US"/>
        </w:rPr>
        <w:t>Linguistic diversity, e.g., in migratory situations, has been identified in the literature as one of the main causes of language barrier in the healthcare delivery process. With the ever increasing spate of migration/immigration around the world, language barrier in healthcare has become a global problem. It is very common, globally, to find increasing number of patients who do not share a common language with their health workers/providers, (Diez Guardia &amp;Pichelman, 2006, Taylor 2012, Somerville 2009). Many countries around the world have clearly identified this situation as potentially problematic and try to address this growing concern through policy, practice or both. For instance, in the US, section 1557 of the Affordable Care Act (2010) requires hospitals to provide qualified interpreters (in person, by phone or video) to help facilitate communication between clinicians and patients.</w:t>
      </w:r>
    </w:p>
    <w:p>
      <w:pPr>
        <w:pStyle w:val="Body A"/>
        <w:jc w:val="both"/>
        <w:rPr>
          <w:sz w:val="24"/>
          <w:szCs w:val="24"/>
          <w:rtl w:val="0"/>
        </w:rPr>
      </w:pPr>
      <w:r>
        <w:rPr>
          <w:sz w:val="24"/>
          <w:szCs w:val="24"/>
          <w:rtl w:val="0"/>
          <w:lang w:val="en-US"/>
        </w:rPr>
        <w:t xml:space="preserve">     For example, </w:t>
      </w:r>
      <w:r>
        <w:rPr>
          <w:i w:val="1"/>
          <w:iCs w:val="1"/>
          <w:sz w:val="24"/>
          <w:szCs w:val="24"/>
          <w:rtl w:val="0"/>
          <w:lang w:val="en-US"/>
        </w:rPr>
        <w:t>CyraCom</w:t>
      </w:r>
      <w:r>
        <w:rPr>
          <w:sz w:val="24"/>
          <w:szCs w:val="24"/>
          <w:rtl w:val="0"/>
          <w:lang w:val="en-US"/>
        </w:rPr>
        <w:t xml:space="preserve"> is language services company (that is recognized by the American Hospital Association and American Dental Association) that provides a 24/7 interpreter services to the healthcare system in an attempt to bridge communication gaps in the healthcare delivery process. The Affordable Act (2010) also requires hospitals not only to post notices of language services availability but to also have such notices translated into the top 15 languages that are spoken in the area where the hospitals are located. In fact, before this act, there were several laws and policies on language access in healthcare (See Youdelman 2008 for a more comprehensive review of the US laws and policies on language access in healthcare).</w:t>
      </w:r>
    </w:p>
    <w:p>
      <w:pPr>
        <w:pStyle w:val="Body A"/>
        <w:jc w:val="both"/>
        <w:rPr>
          <w:sz w:val="24"/>
          <w:szCs w:val="24"/>
          <w:rtl w:val="0"/>
        </w:rPr>
      </w:pPr>
      <w:r>
        <w:rPr>
          <w:sz w:val="24"/>
          <w:szCs w:val="24"/>
          <w:rtl w:val="0"/>
          <w:lang w:val="en-US"/>
        </w:rPr>
        <w:t xml:space="preserve">In Australia, the health system of the Western Australian State has instated a language services policy since 2017, which is committed to providing high quality, safe and accessible health care </w:t>
      </w:r>
    </w:p>
    <w:p>
      <w:pPr>
        <w:pStyle w:val="Body A"/>
        <w:jc w:val="both"/>
        <w:rPr>
          <w:sz w:val="24"/>
          <w:szCs w:val="24"/>
          <w:rtl w:val="0"/>
        </w:rPr>
      </w:pPr>
      <w:r>
        <w:rPr>
          <w:sz w:val="24"/>
          <w:szCs w:val="24"/>
          <w:rtl w:val="0"/>
          <w:lang w:val="en-US"/>
        </w:rPr>
        <w:t xml:space="preserve">to all Western Australians who may need language assistance in health communication, including those who cannot effectively communicate in English, e.g, Aboriginal people, people from culturally and linguistically diverse backgrounds, and people who are Deaf or hard of hearing who communicate in Auslan (WA, Department of Health, 3). Again, in Australia, Victoria State Government has instituted language services policy and guidelines in health which are meant to provide language (translation and interpretation) services to </w:t>
      </w:r>
      <w:r>
        <w:rPr>
          <w:rFonts w:hAnsi="Times New Roman" w:hint="default"/>
          <w:sz w:val="24"/>
          <w:szCs w:val="24"/>
          <w:rtl w:val="0"/>
          <w:lang w:val="de-DE"/>
        </w:rPr>
        <w:t>“</w:t>
      </w:r>
      <w:r>
        <w:rPr>
          <w:sz w:val="24"/>
          <w:szCs w:val="24"/>
          <w:rtl w:val="0"/>
          <w:lang w:val="en-US"/>
        </w:rPr>
        <w:t>support the health and wellbeing of Victorians from culturally diverse background</w:t>
      </w:r>
      <w:r>
        <w:rPr>
          <w:rFonts w:hAnsi="Times New Roman" w:hint="default"/>
          <w:sz w:val="24"/>
          <w:szCs w:val="24"/>
          <w:rtl w:val="0"/>
          <w:lang w:val="en-US"/>
        </w:rPr>
        <w:t>”</w:t>
      </w:r>
      <w:r>
        <w:rPr>
          <w:sz w:val="24"/>
          <w:szCs w:val="24"/>
          <w:rtl w:val="0"/>
          <w:lang w:val="en-US"/>
        </w:rPr>
        <w:t>.</w:t>
      </w:r>
    </w:p>
    <w:p>
      <w:pPr>
        <w:pStyle w:val="Body A"/>
        <w:jc w:val="both"/>
        <w:rPr>
          <w:sz w:val="24"/>
          <w:szCs w:val="24"/>
          <w:rtl w:val="0"/>
        </w:rPr>
      </w:pPr>
      <w:r>
        <w:rPr>
          <w:sz w:val="24"/>
          <w:szCs w:val="24"/>
          <w:rtl w:val="0"/>
          <w:lang w:val="en-US"/>
        </w:rPr>
        <w:t>While Africa is one of the world</w:t>
      </w:r>
      <w:r>
        <w:rPr>
          <w:rFonts w:hAnsi="Times New Roman" w:hint="default"/>
          <w:sz w:val="24"/>
          <w:szCs w:val="24"/>
          <w:rtl w:val="0"/>
          <w:lang w:val="en-US"/>
        </w:rPr>
        <w:t>’</w:t>
      </w:r>
      <w:r>
        <w:rPr>
          <w:sz w:val="24"/>
          <w:szCs w:val="24"/>
          <w:rtl w:val="0"/>
          <w:lang w:val="en-US"/>
        </w:rPr>
        <w:t xml:space="preserve">s most linguistically diverse continents in the world (with multiples of indigenous languages), very often, a colonial language e.g. English, French, Spanish, Portuguese is used as official language and is used in formal education. For instance, even though there are over 80 languages in Ghana, English is the de facto official language, and the language of formal education by policy. Per our language-in-education policy, English is the medium of instruction for upper primary to the tertiary level. This means that healthcare practitioners e.g. nurses, doctors, etc. are trained in English even though a large number of the population the health workers interact with either do not speak English at all or speak it as a second language (with varying levels of competences). </w:t>
      </w:r>
    </w:p>
    <w:p>
      <w:pPr>
        <w:pStyle w:val="Body A"/>
        <w:jc w:val="both"/>
        <w:rPr>
          <w:sz w:val="24"/>
          <w:szCs w:val="24"/>
          <w:rtl w:val="0"/>
        </w:rPr>
      </w:pPr>
      <w:r>
        <w:rPr>
          <w:sz w:val="24"/>
          <w:szCs w:val="24"/>
          <w:rtl w:val="0"/>
          <w:lang w:val="en-US"/>
        </w:rPr>
        <w:t xml:space="preserve">With no known working language service in health policy in Ghana, coupled with a high doctor-patient ratio in Ghana, the chances that healthcare practitioners attend to clients with whom they do not share a common Ghanaian language, and with no professional translation, are high. Yet, a look at the University of Ghana Medical School syllabus (that holds true for the other health training institutions) ostensibly has no place for language and communication as an integral part of the training of health workers in Ghana. According to the University of Ghana Medical School course structure, whereas year one of medical school is spent in the faculty of science to </w:t>
      </w:r>
      <w:r>
        <w:rPr>
          <w:rFonts w:hAnsi="Times New Roman" w:hint="default"/>
          <w:sz w:val="24"/>
          <w:szCs w:val="24"/>
          <w:rtl w:val="0"/>
          <w:lang w:val="de-DE"/>
        </w:rPr>
        <w:t>“</w:t>
      </w:r>
      <w:r>
        <w:rPr>
          <w:sz w:val="24"/>
          <w:szCs w:val="24"/>
          <w:rtl w:val="0"/>
          <w:lang w:val="en-US"/>
        </w:rPr>
        <w:t>upgrade the level of science of the SSCE candidates to levels currently prevailing at the GCE Advanced level in the sciences</w:t>
      </w:r>
      <w:r>
        <w:rPr>
          <w:rFonts w:hAnsi="Times New Roman" w:hint="default"/>
          <w:sz w:val="24"/>
          <w:szCs w:val="24"/>
          <w:rtl w:val="0"/>
          <w:lang w:val="en-US"/>
        </w:rPr>
        <w:t>”</w:t>
      </w:r>
      <w:r>
        <w:rPr>
          <w:sz w:val="24"/>
          <w:szCs w:val="24"/>
          <w:rtl w:val="0"/>
          <w:lang w:val="en-US"/>
        </w:rPr>
        <w:t>, years 2 and 3 courses are limited to the following courses:</w:t>
      </w:r>
    </w:p>
    <w:p>
      <w:pPr>
        <w:pStyle w:val="Body A"/>
        <w:jc w:val="both"/>
        <w:rPr>
          <w:i w:val="1"/>
          <w:iCs w:val="1"/>
        </w:rPr>
      </w:pPr>
      <w:r>
        <w:rPr>
          <w:sz w:val="24"/>
          <w:szCs w:val="24"/>
          <w:rtl w:val="0"/>
        </w:rPr>
        <w:tab/>
      </w:r>
      <w:r>
        <w:rPr>
          <w:i w:val="1"/>
          <w:iCs w:val="1"/>
          <w:sz w:val="24"/>
          <w:szCs w:val="24"/>
          <w:rtl w:val="0"/>
          <w:lang w:val="en-US"/>
        </w:rPr>
        <w:t>Medical sociology, History of western medicine, Psychology, Anatomy,</w:t>
      </w:r>
    </w:p>
    <w:p>
      <w:pPr>
        <w:pStyle w:val="Body A"/>
        <w:jc w:val="both"/>
        <w:rPr>
          <w:i w:val="1"/>
          <w:iCs w:val="1"/>
        </w:rPr>
      </w:pPr>
      <w:r>
        <w:rPr>
          <w:i w:val="1"/>
          <w:iCs w:val="1"/>
          <w:sz w:val="24"/>
          <w:szCs w:val="24"/>
          <w:rtl w:val="0"/>
        </w:rPr>
        <w:tab/>
      </w:r>
      <w:r>
        <w:rPr>
          <w:i w:val="1"/>
          <w:iCs w:val="1"/>
          <w:sz w:val="24"/>
          <w:szCs w:val="24"/>
          <w:rtl w:val="0"/>
          <w:lang w:val="it-IT"/>
        </w:rPr>
        <w:t>Medical biochemistry</w:t>
      </w:r>
      <w:r>
        <w:rPr>
          <w:i w:val="1"/>
          <w:iCs w:val="1"/>
          <w:sz w:val="24"/>
          <w:szCs w:val="24"/>
          <w:rtl w:val="0"/>
          <w:lang w:val="en-US"/>
        </w:rPr>
        <w:t xml:space="preserve">, Physiology, Chemical pathology, Hematology, </w:t>
      </w:r>
    </w:p>
    <w:p>
      <w:pPr>
        <w:pStyle w:val="Body A"/>
        <w:jc w:val="both"/>
        <w:rPr>
          <w:i w:val="1"/>
          <w:iCs w:val="1"/>
        </w:rPr>
      </w:pPr>
      <w:r>
        <w:rPr>
          <w:i w:val="1"/>
          <w:iCs w:val="1"/>
          <w:sz w:val="24"/>
          <w:szCs w:val="24"/>
          <w:rtl w:val="0"/>
        </w:rPr>
        <w:tab/>
        <w:t xml:space="preserve">Microbiology, Pathology, </w:t>
      </w:r>
      <w:r>
        <w:rPr>
          <w:i w:val="1"/>
          <w:iCs w:val="1"/>
          <w:sz w:val="24"/>
          <w:szCs w:val="24"/>
          <w:rtl w:val="0"/>
          <w:lang w:val="it-IT"/>
        </w:rPr>
        <w:t>Pharmacology</w:t>
      </w:r>
      <w:r>
        <w:rPr>
          <w:i w:val="1"/>
          <w:iCs w:val="1"/>
          <w:sz w:val="24"/>
          <w:szCs w:val="24"/>
          <w:rtl w:val="0"/>
          <w:lang w:val="en-US"/>
        </w:rPr>
        <w:t>.</w:t>
      </w:r>
    </w:p>
    <w:p>
      <w:pPr>
        <w:pStyle w:val="Body A"/>
        <w:jc w:val="both"/>
        <w:rPr>
          <w:sz w:val="24"/>
          <w:szCs w:val="24"/>
          <w:rtl w:val="0"/>
        </w:rPr>
      </w:pPr>
      <w:r>
        <w:rPr>
          <w:sz w:val="24"/>
          <w:szCs w:val="24"/>
          <w:rtl w:val="0"/>
          <w:lang w:val="en-US"/>
        </w:rPr>
        <w:t>While language and health communication has been researched and discussed extensively in the literature in Europe (Semino et al 2015, 2016; Demjen et al 2016; Demjen and Semino 2015</w:t>
      </w:r>
      <w:r>
        <w:rPr>
          <w:sz w:val="24"/>
          <w:szCs w:val="24"/>
          <w:rtl w:val="0"/>
          <w:lang w:val="it-IT"/>
        </w:rPr>
        <w:t>), US. (Meuter et al 2015; Youdelman 2008) and Canada (</w:t>
      </w:r>
      <w:r>
        <w:rPr>
          <w:sz w:val="24"/>
          <w:szCs w:val="24"/>
          <w:u w:color="222222"/>
          <w:shd w:val="clear" w:color="auto" w:fill="ffffff"/>
          <w:rtl w:val="0"/>
          <w:lang w:val="en-US"/>
        </w:rPr>
        <w:t xml:space="preserve">Bourhis and Montreuil, 2017), </w:t>
      </w:r>
      <w:r>
        <w:rPr>
          <w:sz w:val="24"/>
          <w:szCs w:val="24"/>
          <w:rtl w:val="0"/>
          <w:lang w:val="en-US"/>
        </w:rPr>
        <w:t xml:space="preserve">very little research has focused on language and health communication, particularly, language barrier in healthcare delivery in Africa (e.g., Belaskri, 2012) in general and Ghana (e.g., Amfo et al, 2018) in particular. Thus, there is the need for research in the language and health nexus not only to fill the gap in the literature but also to raise awareness about the need for language services policy and practice in Ghana, a highly multilingual country. This paper, thus, explores language differences as a potential barrier to quality and safe healthcare delivery in Ghana. We do a survey of the language(s) that are involved in healthcare delivery system in urban Ghana where linguistic diversity is densest. </w:t>
      </w:r>
    </w:p>
    <w:p>
      <w:pPr>
        <w:pStyle w:val="Body A"/>
        <w:jc w:val="both"/>
        <w:rPr>
          <w:sz w:val="24"/>
          <w:szCs w:val="24"/>
          <w:rtl w:val="0"/>
        </w:rPr>
      </w:pPr>
    </w:p>
    <w:p>
      <w:pPr>
        <w:pStyle w:val="Body A"/>
        <w:jc w:val="both"/>
        <w:rPr>
          <w:rFonts w:ascii="Times New Roman Bold" w:cs="Times New Roman Bold" w:hAnsi="Times New Roman Bold" w:eastAsia="Times New Roman Bold"/>
        </w:rPr>
      </w:pPr>
      <w:r>
        <w:rPr>
          <w:rFonts w:ascii="Times New Roman Bold"/>
          <w:sz w:val="24"/>
          <w:szCs w:val="24"/>
          <w:rtl w:val="0"/>
          <w:lang w:val="en-US"/>
        </w:rPr>
        <w:t>2. Language and health communication research</w:t>
      </w:r>
    </w:p>
    <w:p>
      <w:pPr>
        <w:pStyle w:val="Body A"/>
        <w:jc w:val="both"/>
        <w:rPr>
          <w:sz w:val="24"/>
          <w:szCs w:val="24"/>
          <w:rtl w:val="0"/>
        </w:rPr>
      </w:pPr>
      <w:r>
        <w:rPr>
          <w:sz w:val="24"/>
          <w:szCs w:val="24"/>
          <w:rtl w:val="0"/>
          <w:lang w:val="en-US"/>
        </w:rPr>
        <w:t xml:space="preserve">     Language barriers in health care can have significant impact on the success of the health care encounter (Jacobs et al. 2006). It has also been established that in health care services, the success of the health care encounter is particularly important as it may have an impact on patient</w:t>
      </w:r>
      <w:r>
        <w:rPr>
          <w:rFonts w:hAnsi="Times New Roman" w:hint="default"/>
          <w:sz w:val="24"/>
          <w:szCs w:val="24"/>
          <w:rtl w:val="0"/>
          <w:lang w:val="en-US"/>
        </w:rPr>
        <w:t>’</w:t>
      </w:r>
      <w:r>
        <w:rPr>
          <w:sz w:val="24"/>
          <w:szCs w:val="24"/>
          <w:rtl w:val="0"/>
          <w:lang w:val="fr-FR"/>
        </w:rPr>
        <w:t>s survival and also health in the long run. Language barrier can easily lead to the possibility of a doctor having less understanding of the full nature of patient</w:t>
      </w:r>
      <w:r>
        <w:rPr>
          <w:rFonts w:hAnsi="Times New Roman" w:hint="default"/>
          <w:sz w:val="24"/>
          <w:szCs w:val="24"/>
          <w:rtl w:val="0"/>
          <w:lang w:val="en-US"/>
        </w:rPr>
        <w:t>’</w:t>
      </w:r>
      <w:r>
        <w:rPr>
          <w:sz w:val="24"/>
          <w:szCs w:val="24"/>
          <w:rtl w:val="0"/>
          <w:lang w:val="en-US"/>
        </w:rPr>
        <w:t xml:space="preserve">s problems (Sarver &amp; Baker 2000).   </w:t>
      </w:r>
    </w:p>
    <w:p>
      <w:pPr>
        <w:pStyle w:val="Body A"/>
        <w:jc w:val="both"/>
        <w:rPr>
          <w:sz w:val="24"/>
          <w:szCs w:val="24"/>
          <w:rtl w:val="0"/>
        </w:rPr>
      </w:pPr>
      <w:r>
        <w:rPr>
          <w:sz w:val="24"/>
          <w:szCs w:val="24"/>
          <w:rtl w:val="0"/>
          <w:lang w:val="en-US"/>
        </w:rPr>
        <w:t xml:space="preserve"> For example, findings from research in health communication in the US suggest that, many U.S. residents with limited skills in English patients (LEP) are less likely to receive the care they would need (Jacobs et al. 2006), more likely to be admitted to the hospital (Lee et al. 1998), at greater risk of suffering medical errors than fluent English speakers (Flores et al. 2003), and often have longer hospital stays for medical and surgical conditions than patients who speak English as their native language (John-Baptiste et. al 2004). It has also been suggested that language barrier between a patient and a doctor may cause excessive ordering of additional medical tests and unnecessary diagnostic testing, as the doctor tries to establish a proper diagnosis in the absence of sufficient patient history (Morales et al. 1999). </w:t>
      </w:r>
    </w:p>
    <w:p>
      <w:pPr>
        <w:pStyle w:val="Body A"/>
        <w:jc w:val="both"/>
        <w:rPr>
          <w:sz w:val="24"/>
          <w:szCs w:val="24"/>
          <w:rtl w:val="0"/>
        </w:rPr>
      </w:pPr>
      <w:r>
        <w:rPr>
          <w:sz w:val="24"/>
          <w:szCs w:val="24"/>
          <w:rtl w:val="0"/>
          <w:lang w:val="en-US"/>
        </w:rPr>
        <w:t xml:space="preserve">     Language issues in health care have traditionally been of special interest in the North American contexts due to large amounts of ethnic minorities and immigrants who do not speak English. Consequently, the literature on language barrier in health care is heavily tilted towards limited English proficiency (LEP) patients whose native language is not English (Carrasquillo et al. 1999; Fagan et al. 2003; Jacobs et al. 2006; Karliner et al. 2007).However, language barrier in health communication goes beyond lack of English proficiency, and research in other jurisdiction is coming up. </w:t>
      </w:r>
    </w:p>
    <w:p>
      <w:pPr>
        <w:pStyle w:val="Body A"/>
        <w:jc w:val="both"/>
        <w:rPr>
          <w:sz w:val="24"/>
          <w:szCs w:val="24"/>
          <w:rtl w:val="0"/>
        </w:rPr>
      </w:pPr>
      <w:r>
        <w:rPr>
          <w:sz w:val="24"/>
          <w:szCs w:val="24"/>
          <w:rtl w:val="0"/>
          <w:lang w:val="en-US"/>
        </w:rPr>
        <w:t xml:space="preserve">     Meuter et al (2015) have proposed a protocol that outlines a hospital-based study that examined interactions between healthcare practitioners and their patients who share or do not share an L1 in order to understand language barriers and miscommunication in healthcare delivery systems where at least one speaker uses a second language. The primary objective of their study was to understand the role of language in health care services. This study aimed at investigating 1) how language barriers affect health care encounters and how health care companies overcome language barriers in medical encounters and 2) the role of native language in health care services and when native language use is particularly important. Using empirical data drawn from semi-structured interviews the findings of this study indicate that language barriers are in many ways problematic in health care services and they may have various negative impacts on a patient. However, various interventions, e.g. using professional and non-professional interpreters to different creative solutions were helpful in overcoming language barriers in health care. The study therefore concluded that patient</w:t>
      </w:r>
      <w:r>
        <w:rPr>
          <w:rFonts w:hAnsi="Times New Roman" w:hint="default"/>
          <w:sz w:val="24"/>
          <w:szCs w:val="24"/>
          <w:rtl w:val="0"/>
          <w:lang w:val="en-US"/>
        </w:rPr>
        <w:t>’</w:t>
      </w:r>
      <w:r>
        <w:rPr>
          <w:sz w:val="24"/>
          <w:szCs w:val="24"/>
          <w:rtl w:val="0"/>
          <w:lang w:val="en-US"/>
        </w:rPr>
        <w:t xml:space="preserve">s native language has an important role in health care services. </w:t>
        <w:tab/>
      </w:r>
    </w:p>
    <w:p>
      <w:pPr>
        <w:pStyle w:val="Body A"/>
        <w:jc w:val="both"/>
        <w:rPr>
          <w:sz w:val="24"/>
          <w:szCs w:val="24"/>
          <w:rtl w:val="0"/>
        </w:rPr>
      </w:pPr>
      <w:r>
        <w:rPr>
          <w:sz w:val="24"/>
          <w:szCs w:val="24"/>
          <w:rtl w:val="0"/>
          <w:lang w:val="en-US"/>
        </w:rPr>
        <w:t xml:space="preserve">     Holmqvist (2011) notes that in the context of health care services, language barriers have been demonstrated empirically to have various negative consequences on patients (Carrasquillo et al. 1999; Morales et al. 1999; Sarver &amp; Baker 2000; Fernandez 2004; Jacobs et al. 2006). At the same time, Jacobs et al. (2006, p. 111) note that an efficient dialogue between a doctor and a patient is understood to be </w:t>
      </w:r>
      <w:r>
        <w:rPr>
          <w:rFonts w:hAnsi="Times New Roman" w:hint="default"/>
          <w:sz w:val="24"/>
          <w:szCs w:val="24"/>
          <w:rtl w:val="0"/>
          <w:lang w:val="de-DE"/>
        </w:rPr>
        <w:t>“</w:t>
      </w:r>
      <w:r>
        <w:rPr>
          <w:sz w:val="24"/>
          <w:szCs w:val="24"/>
          <w:rtl w:val="0"/>
          <w:lang w:val="en-US"/>
        </w:rPr>
        <w:t>of a diagnostic import and therapeutic benefit</w:t>
      </w:r>
      <w:r>
        <w:rPr>
          <w:rFonts w:hAnsi="Times New Roman" w:hint="default"/>
          <w:sz w:val="24"/>
          <w:szCs w:val="24"/>
          <w:rtl w:val="0"/>
          <w:lang w:val="en-US"/>
        </w:rPr>
        <w:t>”</w:t>
      </w:r>
      <w:r>
        <w:rPr>
          <w:sz w:val="24"/>
          <w:szCs w:val="24"/>
          <w:rtl w:val="0"/>
          <w:lang w:val="en-US"/>
        </w:rPr>
        <w:t>. Bitner et al. (1997) describe health care delivery as a high involvement service whose service outcome is dependent on consumer participation and how well the consumer performs his/her role.</w:t>
      </w:r>
    </w:p>
    <w:p>
      <w:pPr>
        <w:pStyle w:val="Body A"/>
        <w:jc w:val="both"/>
        <w:rPr>
          <w:sz w:val="24"/>
          <w:szCs w:val="24"/>
          <w:rtl w:val="0"/>
        </w:rPr>
      </w:pPr>
      <w:r>
        <w:rPr>
          <w:sz w:val="24"/>
          <w:szCs w:val="24"/>
          <w:rtl w:val="0"/>
          <w:lang w:val="en-US"/>
        </w:rPr>
        <w:t xml:space="preserve">     Bitner et al. (1997) have argued that patients in health care are part of the health service production process as they contribute to the process by providing information about their ailment and symptoms. If patients provide precise medical information about themselves in a timely manner, their doctors are able to do more accurate diagnoses. On the one hand, the quality of information that the patient provides can ultimately affect the quality of the treatment outcome. On the other hand, patients also need to follow their doctors</w:t>
      </w:r>
      <w:r>
        <w:rPr>
          <w:rFonts w:hAnsi="Times New Roman" w:hint="default"/>
          <w:sz w:val="24"/>
          <w:szCs w:val="24"/>
          <w:rtl w:val="0"/>
          <w:lang w:val="en-US"/>
        </w:rPr>
        <w:t xml:space="preserve">’ </w:t>
      </w:r>
      <w:r>
        <w:rPr>
          <w:sz w:val="24"/>
          <w:szCs w:val="24"/>
          <w:rtl w:val="0"/>
          <w:lang w:val="en-US"/>
        </w:rPr>
        <w:t xml:space="preserve">advice in order to receive the desired outcome, so the patient also needs to participate and engage during the treatment process. </w:t>
      </w:r>
    </w:p>
    <w:p>
      <w:pPr>
        <w:pStyle w:val="Body A"/>
        <w:jc w:val="both"/>
        <w:rPr>
          <w:sz w:val="24"/>
          <w:szCs w:val="24"/>
          <w:rtl w:val="0"/>
        </w:rPr>
      </w:pPr>
      <w:r>
        <w:rPr>
          <w:sz w:val="24"/>
          <w:szCs w:val="24"/>
          <w:rtl w:val="0"/>
          <w:lang w:val="en-US"/>
        </w:rPr>
        <w:t xml:space="preserve">     Morales et al. (1999, p. 414) have opined that optimal treatment outcomes depend strongly on </w:t>
      </w:r>
      <w:r>
        <w:rPr>
          <w:rFonts w:hAnsi="Times New Roman" w:hint="default"/>
          <w:sz w:val="24"/>
          <w:szCs w:val="24"/>
          <w:rtl w:val="0"/>
          <w:lang w:val="de-DE"/>
        </w:rPr>
        <w:t>“</w:t>
      </w:r>
      <w:r>
        <w:rPr>
          <w:sz w:val="24"/>
          <w:szCs w:val="24"/>
          <w:rtl w:val="0"/>
          <w:lang w:val="en-US"/>
        </w:rPr>
        <w:t>satisfactory communication between patients and physicians on medical test results, medications and treatment options</w:t>
      </w:r>
      <w:r>
        <w:rPr>
          <w:rFonts w:hAnsi="Times New Roman" w:hint="default"/>
          <w:sz w:val="24"/>
          <w:szCs w:val="24"/>
          <w:rtl w:val="0"/>
          <w:lang w:val="en-US"/>
        </w:rPr>
        <w:t>”</w:t>
      </w:r>
      <w:r>
        <w:rPr>
          <w:sz w:val="24"/>
          <w:szCs w:val="24"/>
          <w:rtl w:val="0"/>
          <w:lang w:val="en-US"/>
        </w:rPr>
        <w:t xml:space="preserve">. Rivadeneyra et al. (2000) also contend that the quality of the doctor-patient relationship influences the diagnosis, treatment and even the recovery of the patient while Jacobs et al. (2006, p.111) emphasize the role language and communication play in health care, arguing that miscommunication in medical encounters can lead to lost work time due to delayed diagnoses, unnecessary visits to clinic or hospital and even preventable medical errors. </w:t>
      </w:r>
    </w:p>
    <w:p>
      <w:pPr>
        <w:pStyle w:val="Body A"/>
        <w:jc w:val="both"/>
        <w:rPr>
          <w:sz w:val="24"/>
          <w:szCs w:val="24"/>
          <w:rtl w:val="0"/>
        </w:rPr>
      </w:pPr>
      <w:r>
        <w:rPr>
          <w:sz w:val="24"/>
          <w:szCs w:val="24"/>
          <w:rtl w:val="0"/>
          <w:lang w:val="en-US"/>
        </w:rPr>
        <w:t>Many researchers have noted the importance of native language use in health care services (Lee et al. 1998; Jacobs et al. 2006). It has been shown empirically (Fernandez et al. 2004; Morales et al. 1999) that patients prefer communication in their native language in health care encounters, although they may also have a second language they are fluent in. For example, both Fernandez et al. (2004) and Morales et al. (1999) reported that Hispanic LEP patients perceived higher quality for their medical treatment, when they could speak their native language with their doctors. Native language has an important role in trust building between the patient and medical personnel. For instance, the level of competence in a patient</w:t>
      </w:r>
      <w:r>
        <w:rPr>
          <w:rFonts w:hAnsi="Times New Roman" w:hint="default"/>
          <w:sz w:val="24"/>
          <w:szCs w:val="24"/>
          <w:rtl w:val="0"/>
          <w:lang w:val="en-US"/>
        </w:rPr>
        <w:t>’</w:t>
      </w:r>
      <w:r>
        <w:rPr>
          <w:sz w:val="24"/>
          <w:szCs w:val="24"/>
          <w:rtl w:val="0"/>
          <w:lang w:val="en-US"/>
        </w:rPr>
        <w:t>s native language (by medical personnel) is vital in creating trustful relationship between patients and medical personnel, as native language use positively affects patient</w:t>
      </w:r>
      <w:r>
        <w:rPr>
          <w:rFonts w:hAnsi="Times New Roman" w:hint="default"/>
          <w:sz w:val="24"/>
          <w:szCs w:val="24"/>
          <w:rtl w:val="0"/>
          <w:lang w:val="en-US"/>
        </w:rPr>
        <w:t>’</w:t>
      </w:r>
      <w:r>
        <w:rPr>
          <w:sz w:val="24"/>
          <w:szCs w:val="24"/>
          <w:rtl w:val="0"/>
          <w:lang w:val="en-US"/>
        </w:rPr>
        <w:t xml:space="preserve">s identity and well-being. </w:t>
      </w:r>
    </w:p>
    <w:p>
      <w:pPr>
        <w:pStyle w:val="Body A"/>
        <w:jc w:val="both"/>
        <w:rPr>
          <w:sz w:val="24"/>
          <w:szCs w:val="24"/>
          <w:rtl w:val="0"/>
        </w:rPr>
      </w:pPr>
      <w:r>
        <w:rPr>
          <w:sz w:val="24"/>
          <w:szCs w:val="24"/>
          <w:rtl w:val="0"/>
          <w:lang w:val="en-US"/>
        </w:rPr>
        <w:t xml:space="preserve">     Ouimet et al (2013) has studied language barrier in health care and social services system among non-French speaking minority population in Quebec, Canada. The findings from their research were not too different from those in the US. For example, based on their findings, they concluded  that patients who are provided with care and services in a language other than their mother tongue more frequently receive inappropriate medication or do not fully understand how to take their medication, do not have a clear understanding of their diagnosis, are prescribed medication more often, use mental health services less often, are less satisfied with the care they receive, spend more time on average in the emergency room, and are more likely to be exposed to undesirable events than majority language patients. In addition, professionals who work in a second language are less satisfied with their work, experience more stress, and run a greater risk of being sued for a medical error due to a communication problem. Similarly, Yeo (2004) reports that language barriers in health are associated with longer, less frequent visits to medical clinics, more visits to the emergency room, fewer follow ups, and greater dissatisfaction with services received. </w:t>
      </w:r>
    </w:p>
    <w:p>
      <w:pPr>
        <w:pStyle w:val="Body A"/>
        <w:jc w:val="both"/>
        <w:rPr>
          <w:sz w:val="24"/>
          <w:szCs w:val="24"/>
          <w:rtl w:val="0"/>
        </w:rPr>
      </w:pPr>
      <w:r>
        <w:rPr>
          <w:sz w:val="24"/>
          <w:szCs w:val="24"/>
          <w:rtl w:val="0"/>
          <w:lang w:val="en-US"/>
        </w:rPr>
        <w:t xml:space="preserve">     Studies have shown that implementing certain language adaptation measures in services for minority language patients lead to better care quality (Karliner et al. 2007), an increase in their use of services (Snowden, Masland, Peng, Wei-Mien Lou, and Wallace, 2010), lower costs associated with their treatment (Hampers and McNulty, 2002), better understanding in discussions with health professionals (Han, Laranjo, and Friedman, 2009) and help health professionals adopt less discriminatory care practices (Bishop, 2008). Bowen (2015) provides a critical review of the literature as it relates to the impact of language barriers on patient safety within the context of quality of care.</w:t>
      </w:r>
    </w:p>
    <w:p>
      <w:pPr>
        <w:pStyle w:val="Body A"/>
        <w:jc w:val="both"/>
        <w:rPr>
          <w:sz w:val="24"/>
          <w:szCs w:val="24"/>
          <w:rtl w:val="0"/>
        </w:rPr>
      </w:pPr>
      <w:r>
        <w:rPr>
          <w:sz w:val="24"/>
          <w:szCs w:val="24"/>
          <w:rtl w:val="0"/>
          <w:lang w:val="en-US"/>
        </w:rPr>
        <w:t>The importance of good communication between health providers and patients has long been recognized: language has been described as medicine</w:t>
      </w:r>
      <w:r>
        <w:rPr>
          <w:rFonts w:hAnsi="Times New Roman" w:hint="default"/>
          <w:sz w:val="24"/>
          <w:szCs w:val="24"/>
          <w:rtl w:val="0"/>
          <w:lang w:val="en-US"/>
        </w:rPr>
        <w:t>’</w:t>
      </w:r>
      <w:r>
        <w:rPr>
          <w:sz w:val="24"/>
          <w:szCs w:val="24"/>
          <w:rtl w:val="0"/>
          <w:lang w:val="en-US"/>
        </w:rPr>
        <w:t>s most essential technology - the principal instrument for conducting its work (Jackson, 1998). It has been observed that without language, the work of a physician (or other health provider) and a veterinarian would be nearly identical (Clark, 1983). The U.S. Joint Commission states that communication is a core component, not simply an adjunct or facilitator of health care (Schyve, 2007). Reviews of the literature on patient-provider communication indicate that, in addition to effects on patient satisfaction, there is a relationship between the quality of communication and specific patient health outcomes (e.g. pain, recovery from symptoms, anxiety, and physiological measure of blood pressure and blood glucose) (Kaplan et al., 1989; Stewart, 1995; Stewart et al., 1999; Stewart et al., 2000; Teutch, 2003; Williams et al., 1998).Three basic communication processes have been identified as associated with improved health outcomes: a) amount of information exchanged, b) patient</w:t>
      </w:r>
      <w:r>
        <w:rPr>
          <w:rFonts w:hAnsi="Times New Roman" w:hint="default"/>
          <w:sz w:val="24"/>
          <w:szCs w:val="24"/>
          <w:rtl w:val="0"/>
          <w:lang w:val="en-US"/>
        </w:rPr>
        <w:t>’</w:t>
      </w:r>
      <w:r>
        <w:rPr>
          <w:sz w:val="24"/>
          <w:szCs w:val="24"/>
          <w:rtl w:val="0"/>
          <w:lang w:val="en-US"/>
        </w:rPr>
        <w:t xml:space="preserve">s control of the dialogue, and c) rapport established (Kaplan et al, 1989). All of these processes are jeopardized in language discordant encounters.  </w:t>
      </w:r>
    </w:p>
    <w:p>
      <w:pPr>
        <w:pStyle w:val="Body A"/>
        <w:jc w:val="both"/>
        <w:rPr>
          <w:sz w:val="24"/>
          <w:szCs w:val="24"/>
          <w:rtl w:val="0"/>
        </w:rPr>
      </w:pPr>
      <w:r>
        <w:rPr>
          <w:sz w:val="24"/>
          <w:szCs w:val="24"/>
          <w:rtl w:val="0"/>
          <w:lang w:val="en-US"/>
        </w:rPr>
        <w:t xml:space="preserve"> Much of the patient safety literature related to communication has not focused on miscommunication between patient and provider, but has rather focused on communication between medical personnel, including patient handovers. This latter area has not been addressed in the language barrier research.  </w:t>
      </w:r>
    </w:p>
    <w:p>
      <w:pPr>
        <w:pStyle w:val="Body A"/>
        <w:jc w:val="both"/>
        <w:rPr>
          <w:sz w:val="24"/>
          <w:szCs w:val="24"/>
          <w:rtl w:val="0"/>
        </w:rPr>
      </w:pPr>
      <w:r>
        <w:rPr>
          <w:sz w:val="24"/>
          <w:szCs w:val="24"/>
          <w:rtl w:val="0"/>
          <w:lang w:val="en-US"/>
        </w:rPr>
        <w:t xml:space="preserve">     One study of patients at discharge found that Spanish speaking patients were more likely to demonstrate a dosing error than English speaking patients (Samuels-Kalow et al., 2013). In another study, 27% of patients who felt they needed an interpreter but didn</w:t>
      </w:r>
      <w:r>
        <w:rPr>
          <w:rFonts w:hAnsi="Times New Roman" w:hint="default"/>
          <w:sz w:val="24"/>
          <w:szCs w:val="24"/>
          <w:rtl w:val="0"/>
          <w:lang w:val="en-US"/>
        </w:rPr>
        <w:t>’</w:t>
      </w:r>
      <w:r>
        <w:rPr>
          <w:sz w:val="24"/>
          <w:szCs w:val="24"/>
          <w:rtl w:val="0"/>
          <w:lang w:val="en-US"/>
        </w:rPr>
        <w:t>t get one did not understand instruction for taking their medication, compared to 2% of those who got an interpreter or didn</w:t>
      </w:r>
      <w:r>
        <w:rPr>
          <w:rFonts w:hAnsi="Times New Roman" w:hint="default"/>
          <w:sz w:val="24"/>
          <w:szCs w:val="24"/>
          <w:rtl w:val="0"/>
          <w:lang w:val="en-US"/>
        </w:rPr>
        <w:t>’</w:t>
      </w:r>
      <w:r>
        <w:rPr>
          <w:sz w:val="24"/>
          <w:szCs w:val="24"/>
          <w:rtl w:val="0"/>
          <w:lang w:val="en-US"/>
        </w:rPr>
        <w:t xml:space="preserve">t need one (Andrulis et al., 2002). Patients with language barriers have also been reported as having more difficulty in understanding labels (Masland et al., 2011; Wilson, et al., 2005). Given these factors, it is not surprising that those facing language barriers are less likely to be adherent to prescribed medication (David and Rhee, 1998; Ens et al., 2014; Karliner et al., 2012a; Krueger et al., 2005; Traylor et al., 2010), and are more likely to report complications. A U.S. study of outpatient drug complications demonstrated that having a primary language other than English or Spanish was significantly correlated to reported drug complications, although no significant differences were found by race, gender or education. </w:t>
      </w:r>
    </w:p>
    <w:p>
      <w:pPr>
        <w:pStyle w:val="Body A"/>
        <w:jc w:val="both"/>
        <w:rPr>
          <w:sz w:val="24"/>
          <w:szCs w:val="24"/>
          <w:rtl w:val="0"/>
        </w:rPr>
      </w:pPr>
      <w:r>
        <w:rPr>
          <w:sz w:val="24"/>
          <w:szCs w:val="24"/>
          <w:rtl w:val="0"/>
          <w:lang w:val="en-US"/>
        </w:rPr>
        <w:t xml:space="preserve">      Belaskri (2012) has used ethnography and mixed methods, i.e., questionnaires, participant and non-participant observation, discussion forums, online social networking services and emails to examine language use in the Algerian healthcare sector. The findings of the study revealed that majority of doctors in Algeria mixed Arabic and French, but used more French to interact with their patients. French was found to be used even in situations where patients did not understand it. Finally, patients with low proficiency in French were found to have difficulties expressing their concerns verbally and were medically less literate/informed.</w:t>
      </w:r>
    </w:p>
    <w:p>
      <w:pPr>
        <w:pStyle w:val="Body A"/>
        <w:jc w:val="both"/>
        <w:rPr>
          <w:sz w:val="24"/>
          <w:szCs w:val="24"/>
          <w:rtl w:val="0"/>
        </w:rPr>
      </w:pPr>
    </w:p>
    <w:p>
      <w:pPr>
        <w:pStyle w:val="Body A"/>
        <w:jc w:val="both"/>
        <w:rPr>
          <w:rFonts w:ascii="Times New Roman Bold" w:cs="Times New Roman Bold" w:hAnsi="Times New Roman Bold" w:eastAsia="Times New Roman Bold"/>
          <w:u w:val="single"/>
        </w:rPr>
      </w:pPr>
      <w:r>
        <w:rPr>
          <w:rFonts w:ascii="Times New Roman Bold"/>
          <w:sz w:val="24"/>
          <w:szCs w:val="24"/>
          <w:rtl w:val="0"/>
          <w:lang w:val="en-US"/>
        </w:rPr>
        <w:t>3. Methods</w:t>
      </w:r>
    </w:p>
    <w:p>
      <w:pPr>
        <w:pStyle w:val="Body A"/>
        <w:jc w:val="both"/>
        <w:rPr>
          <w:sz w:val="24"/>
          <w:szCs w:val="24"/>
          <w:rtl w:val="0"/>
        </w:rPr>
      </w:pPr>
      <w:r>
        <w:rPr>
          <w:sz w:val="24"/>
          <w:szCs w:val="24"/>
          <w:rtl w:val="0"/>
          <w:lang w:val="en-US"/>
        </w:rPr>
        <w:t xml:space="preserve">     The data for analysis were elicited using </w:t>
      </w:r>
      <w:r>
        <w:rPr>
          <w:sz w:val="24"/>
          <w:szCs w:val="24"/>
          <w:rtl w:val="0"/>
          <w:lang w:val="fr-FR"/>
        </w:rPr>
        <w:t xml:space="preserve">questionnaires </w:t>
      </w:r>
      <w:r>
        <w:rPr>
          <w:sz w:val="24"/>
          <w:szCs w:val="24"/>
          <w:rtl w:val="0"/>
          <w:lang w:val="en-US"/>
        </w:rPr>
        <w:t>with both open-ended and close questions. There were two sets of respondents. The first set consisted of participants from a</w:t>
      </w:r>
      <w:r>
        <w:rPr>
          <w:sz w:val="24"/>
          <w:szCs w:val="24"/>
          <w:rtl w:val="0"/>
          <w:lang w:val="fr-FR"/>
        </w:rPr>
        <w:t xml:space="preserve"> patient population</w:t>
      </w:r>
      <w:r>
        <w:rPr>
          <w:sz w:val="24"/>
          <w:szCs w:val="24"/>
          <w:rtl w:val="0"/>
          <w:lang w:val="en-US"/>
        </w:rPr>
        <w:t xml:space="preserve"> drawn from Accra and Kasoa, among the densest urban/peri-urban areas in Ghana. The second set consisted of participants drawn from a health worker population mainly from </w:t>
      </w:r>
      <w:r>
        <w:rPr>
          <w:sz w:val="24"/>
          <w:szCs w:val="24"/>
          <w:rtl w:val="0"/>
          <w:lang w:val="it-IT"/>
        </w:rPr>
        <w:t>Accra</w:t>
      </w:r>
      <w:r>
        <w:rPr>
          <w:sz w:val="24"/>
          <w:szCs w:val="24"/>
          <w:rtl w:val="0"/>
          <w:lang w:val="en-US"/>
        </w:rPr>
        <w:t xml:space="preserve"> and Kumasi, the densest and second densest urban communities in Ghana,respectively. The patient survey was conducted among urban populations living in and around Accra and was made up of a total of 150 respondents from varied ethnolinguistic, socioeconomic and sociolinguistic backgrounds. </w:t>
      </w:r>
    </w:p>
    <w:p>
      <w:pPr>
        <w:pStyle w:val="Body A"/>
        <w:jc w:val="both"/>
        <w:rPr>
          <w:sz w:val="24"/>
          <w:szCs w:val="24"/>
          <w:rtl w:val="0"/>
        </w:rPr>
      </w:pPr>
      <w:r>
        <w:rPr>
          <w:sz w:val="24"/>
          <w:szCs w:val="24"/>
          <w:rtl w:val="0"/>
          <w:lang w:val="en-US"/>
        </w:rPr>
        <w:t xml:space="preserve">     The instrument for the data collection was a questionnaire written in English. Consequently, only participants who were literate in English were included in this survey. Participants responded to the questions by filling the questionnaires by themselves. The health worker population consisted of 20 respondents, including medical doctors, pharmacists, lab technicians/technologists, health information officers and nurses from a variety of ethnolinguistic backgrounds, and working in different health facilities across six regions, including Greater Accra and Ashanti regions, which host the most urbanized and second most urbanized cities in Ghana respectively. This set of participants responded to the questionnaire on google docs on line.  Both sets of data were analyzed using descriptive statistics (close questions) and thematic analysis (open ended questions). </w:t>
      </w:r>
    </w:p>
    <w:p>
      <w:pPr>
        <w:pStyle w:val="Body A"/>
        <w:jc w:val="both"/>
        <w:rPr>
          <w:sz w:val="24"/>
          <w:szCs w:val="24"/>
          <w:rtl w:val="0"/>
        </w:rPr>
      </w:pPr>
    </w:p>
    <w:p>
      <w:pPr>
        <w:pStyle w:val="Body A"/>
        <w:jc w:val="both"/>
        <w:rPr>
          <w:rFonts w:ascii="Times New Roman Bold" w:cs="Times New Roman Bold" w:hAnsi="Times New Roman Bold" w:eastAsia="Times New Roman Bold"/>
        </w:rPr>
      </w:pPr>
      <w:r>
        <w:rPr>
          <w:rFonts w:ascii="Times New Roman Bold"/>
          <w:sz w:val="24"/>
          <w:szCs w:val="24"/>
          <w:rtl w:val="0"/>
          <w:lang w:val="en-US"/>
        </w:rPr>
        <w:t>3.1 Characteristics of Patient Respondents</w:t>
      </w:r>
    </w:p>
    <w:p>
      <w:pPr>
        <w:pStyle w:val="Body A"/>
        <w:jc w:val="both"/>
        <w:rPr>
          <w:sz w:val="24"/>
          <w:szCs w:val="24"/>
          <w:rtl w:val="0"/>
        </w:rPr>
      </w:pPr>
      <w:r>
        <w:rPr>
          <w:sz w:val="24"/>
          <w:szCs w:val="24"/>
          <w:rtl w:val="0"/>
          <w:lang w:val="en-US"/>
        </w:rPr>
        <w:t xml:space="preserve">     The respondents in this study were varied in age. While 6% of the respondents were below 18 years but above 14 years, only 0.7% were above 50 years. The majority of the respondents, 62.7% were between the ages of 18 and 25 while 16% were between the ages of 26 and 50. The age distribution reflects the national population distribution in Ghana (Ghana </w:t>
      </w:r>
      <w:r>
        <w:rPr>
          <w:sz w:val="24"/>
          <w:szCs w:val="24"/>
          <w:rtl w:val="0"/>
          <w:lang w:val="it-IT"/>
        </w:rPr>
        <w:t>Statistical</w:t>
      </w:r>
      <w:r>
        <w:rPr>
          <w:sz w:val="24"/>
          <w:szCs w:val="24"/>
          <w:rtl w:val="0"/>
          <w:lang w:val="en-US"/>
        </w:rPr>
        <w:t xml:space="preserve"> Services, 2015). It is interesting to note that out of the 150 respondents, 14.7% did not indicate their age range. This is particularly interesting because it reflects a cultural phenomenon in Ghana - where it is considered impolite (even offensive) to ask people their age. Similarly, of the 150 respondents, 32.7% indicated that they were </w:t>
      </w:r>
      <w:r>
        <w:rPr>
          <w:sz w:val="24"/>
          <w:szCs w:val="24"/>
          <w:rtl w:val="0"/>
          <w:lang w:val="it-IT"/>
        </w:rPr>
        <w:t>male,</w:t>
      </w:r>
      <w:r>
        <w:rPr>
          <w:sz w:val="24"/>
          <w:szCs w:val="24"/>
          <w:rtl w:val="0"/>
          <w:lang w:val="en-US"/>
        </w:rPr>
        <w:t xml:space="preserve"> while</w:t>
      </w:r>
      <w:r>
        <w:rPr>
          <w:sz w:val="24"/>
          <w:szCs w:val="24"/>
          <w:rtl w:val="0"/>
          <w:lang w:val="pt-PT"/>
        </w:rPr>
        <w:t xml:space="preserve"> 52.7% </w:t>
      </w:r>
      <w:r>
        <w:rPr>
          <w:sz w:val="24"/>
          <w:szCs w:val="24"/>
          <w:rtl w:val="0"/>
          <w:lang w:val="en-US"/>
        </w:rPr>
        <w:t>indicated that they were female. Interestingly, 14.7% did not indicate whether they were male or female even though there are no known cultural prohibitions in Ghana regarding enquiring about people</w:t>
      </w:r>
      <w:r>
        <w:rPr>
          <w:rFonts w:hAnsi="Times New Roman" w:hint="default"/>
          <w:sz w:val="24"/>
          <w:szCs w:val="24"/>
          <w:rtl w:val="0"/>
          <w:lang w:val="en-US"/>
        </w:rPr>
        <w:t>’</w:t>
      </w:r>
      <w:r>
        <w:rPr>
          <w:sz w:val="24"/>
          <w:szCs w:val="24"/>
          <w:rtl w:val="0"/>
          <w:lang w:val="en-US"/>
        </w:rPr>
        <w:t>s gender or sex. In terms of occupation, respondents reported varied professional backgrounds including: academia/education (lecturers, teachers, librarians, teaching assistants), health (nurses, physiotherapists), business and finance (accountants, bursars, and business women), administration (front desk managers, administrative assistants), communication (PR practitioners, communication officers), electrical engineers, national service personnel (fresh university graduates) and students. All participants agreed to voluntarily taking part in the study.</w:t>
      </w:r>
    </w:p>
    <w:p>
      <w:pPr>
        <w:pStyle w:val="Body A"/>
        <w:jc w:val="both"/>
        <w:rPr>
          <w:sz w:val="24"/>
          <w:szCs w:val="24"/>
          <w:rtl w:val="0"/>
        </w:rPr>
      </w:pPr>
      <w:r>
        <w:rPr>
          <w:sz w:val="24"/>
          <w:szCs w:val="24"/>
          <w:rtl w:val="0"/>
          <w:lang w:val="en-US"/>
        </w:rPr>
        <w:t xml:space="preserve">     In order to establish the ethnolinguistic diversity of the participants and the population they represent, they were asked to indicate their ethnic origin. Many participants traced their ethnic origins to one of 25 different indigenous Ghanaian ethnolinguistic groups and two (2) ethnolinguistic groups from Nigeria as indicated in table 1 below:</w:t>
      </w:r>
    </w:p>
    <w:p>
      <w:pPr>
        <w:pStyle w:val="Body A"/>
        <w:jc w:val="both"/>
        <w:rPr>
          <w:sz w:val="24"/>
          <w:szCs w:val="24"/>
          <w:rtl w:val="0"/>
        </w:rPr>
      </w:pPr>
    </w:p>
    <w:p>
      <w:pPr>
        <w:pStyle w:val="Body A"/>
        <w:jc w:val="both"/>
        <w:rPr>
          <w:rFonts w:ascii="Times New Roman Bold" w:cs="Times New Roman Bold" w:hAnsi="Times New Roman Bold" w:eastAsia="Times New Roman Bold"/>
        </w:rPr>
      </w:pPr>
      <w:r>
        <w:rPr>
          <w:sz w:val="24"/>
          <w:szCs w:val="24"/>
          <w:rtl w:val="0"/>
        </w:rPr>
        <w:tab/>
        <w:tab/>
      </w:r>
      <w:r>
        <w:rPr>
          <w:rFonts w:ascii="Times New Roman Bold"/>
          <w:sz w:val="24"/>
          <w:szCs w:val="24"/>
          <w:rtl w:val="0"/>
          <w:lang w:val="en-US"/>
        </w:rPr>
        <w:t>Table 1: Ethnolinguistic profile of patient participants</w:t>
      </w:r>
    </w:p>
    <w:p>
      <w:pPr>
        <w:pStyle w:val="Body A"/>
        <w:jc w:val="both"/>
        <w:rPr>
          <w:sz w:val="24"/>
          <w:szCs w:val="24"/>
          <w:rtl w:val="0"/>
        </w:rPr>
      </w:pPr>
      <w:r>
        <w:rPr>
          <w:sz w:val="24"/>
          <w:szCs w:val="24"/>
          <w:rtl w:val="0"/>
        </w:rPr>
        <w:tab/>
        <w:t xml:space="preserve">Ada  </w:t>
        <w:tab/>
        <w:tab/>
      </w:r>
      <w:r>
        <w:rPr>
          <w:sz w:val="24"/>
          <w:szCs w:val="24"/>
          <w:rtl w:val="0"/>
          <w:lang w:val="fr-FR"/>
        </w:rPr>
        <w:t>Ahanta</w:t>
      </w:r>
      <w:r>
        <w:rPr>
          <w:sz w:val="24"/>
          <w:szCs w:val="24"/>
          <w:rtl w:val="0"/>
          <w:lang w:val="de-DE"/>
        </w:rPr>
        <w:tab/>
        <w:tab/>
        <w:t>Akan</w:t>
        <w:tab/>
        <w:tab/>
      </w:r>
      <w:r>
        <w:rPr>
          <w:sz w:val="24"/>
          <w:szCs w:val="24"/>
          <w:rtl w:val="0"/>
          <w:lang w:val="it-IT"/>
        </w:rPr>
        <w:t>Bassare</w:t>
      </w:r>
      <w:r>
        <w:rPr>
          <w:sz w:val="24"/>
          <w:szCs w:val="24"/>
          <w:rtl w:val="0"/>
        </w:rPr>
        <w:tab/>
      </w:r>
      <w:r>
        <w:rPr>
          <w:sz w:val="24"/>
          <w:szCs w:val="24"/>
          <w:rtl w:val="0"/>
          <w:lang w:val="it-IT"/>
        </w:rPr>
        <w:t xml:space="preserve"> Bono</w:t>
      </w:r>
      <w:r>
        <w:rPr>
          <w:sz w:val="24"/>
          <w:szCs w:val="24"/>
          <w:rtl w:val="0"/>
        </w:rPr>
        <w:tab/>
        <w:tab/>
        <w:t>Chamber</w:t>
      </w:r>
    </w:p>
    <w:p>
      <w:pPr>
        <w:pStyle w:val="Body A"/>
        <w:jc w:val="both"/>
        <w:rPr>
          <w:lang w:val="de-DE"/>
        </w:rPr>
      </w:pPr>
      <w:r>
        <w:rPr>
          <w:sz w:val="24"/>
          <w:szCs w:val="24"/>
          <w:rtl w:val="0"/>
          <w:lang w:val="de-DE"/>
        </w:rPr>
        <w:tab/>
        <w:t>Dagao</w:t>
        <w:tab/>
        <w:tab/>
        <w:t>Dagati</w:t>
        <w:tab/>
        <w:tab/>
        <w:t>Dagbani</w:t>
        <w:tab/>
        <w:t>Dangbe</w:t>
        <w:tab/>
        <w:t xml:space="preserve"> Ewe </w:t>
        <w:tab/>
        <w:tab/>
        <w:t>Frafra</w:t>
        <w:tab/>
      </w:r>
    </w:p>
    <w:p>
      <w:pPr>
        <w:pStyle w:val="Body A"/>
        <w:jc w:val="both"/>
        <w:rPr>
          <w:lang w:val="it-IT"/>
        </w:rPr>
      </w:pPr>
      <w:r>
        <w:rPr>
          <w:sz w:val="24"/>
          <w:szCs w:val="24"/>
          <w:rtl w:val="0"/>
        </w:rPr>
        <w:tab/>
        <w:t xml:space="preserve"> Ga</w:t>
        <w:tab/>
        <w:tab/>
        <w:t>Gonja</w:t>
        <w:tab/>
        <w:tab/>
      </w:r>
      <w:r>
        <w:rPr>
          <w:sz w:val="24"/>
          <w:szCs w:val="24"/>
          <w:rtl w:val="0"/>
          <w:lang w:val="it-IT"/>
        </w:rPr>
        <w:t>Guan</w:t>
        <w:tab/>
        <w:tab/>
        <w:t xml:space="preserve">Igbo (Nigeria) </w:t>
        <w:tab/>
        <w:t xml:space="preserve">  Kasem</w:t>
        <w:tab/>
        <w:t>Kasina</w:t>
      </w:r>
    </w:p>
    <w:p>
      <w:pPr>
        <w:pStyle w:val="Body A"/>
        <w:jc w:val="both"/>
        <w:rPr>
          <w:sz w:val="24"/>
          <w:szCs w:val="24"/>
          <w:rtl w:val="0"/>
        </w:rPr>
      </w:pPr>
      <w:r>
        <w:rPr>
          <w:sz w:val="24"/>
          <w:szCs w:val="24"/>
          <w:rtl w:val="0"/>
        </w:rPr>
        <w:tab/>
        <w:t xml:space="preserve">  Mole  </w:t>
        <w:tab/>
      </w:r>
      <w:r>
        <w:rPr>
          <w:sz w:val="24"/>
          <w:szCs w:val="24"/>
          <w:rtl w:val="0"/>
          <w:lang w:val="it-IT"/>
        </w:rPr>
        <w:t>Mossi</w:t>
      </w:r>
      <w:r>
        <w:rPr>
          <w:sz w:val="24"/>
          <w:szCs w:val="24"/>
          <w:rtl w:val="0"/>
        </w:rPr>
        <w:tab/>
        <w:tab/>
        <w:t>Nankani</w:t>
        <w:tab/>
        <w:t xml:space="preserve">Nanumba </w:t>
        <w:tab/>
        <w:t xml:space="preserve">Nzema </w:t>
        <w:tab/>
        <w:t>Sissala</w:t>
      </w:r>
    </w:p>
    <w:p>
      <w:pPr>
        <w:pStyle w:val="Body A"/>
        <w:jc w:val="both"/>
        <w:rPr>
          <w:lang w:val="it-IT"/>
        </w:rPr>
      </w:pPr>
      <w:r>
        <w:rPr>
          <w:sz w:val="24"/>
          <w:szCs w:val="24"/>
          <w:rtl w:val="0"/>
        </w:rPr>
        <w:tab/>
        <w:t>Tsokosi</w:t>
        <w:tab/>
      </w:r>
      <w:r>
        <w:rPr>
          <w:sz w:val="24"/>
          <w:szCs w:val="24"/>
          <w:rtl w:val="0"/>
          <w:lang w:val="nl-NL"/>
        </w:rPr>
        <w:t>Waala</w:t>
      </w:r>
      <w:r>
        <w:rPr>
          <w:sz w:val="24"/>
          <w:szCs w:val="24"/>
          <w:rtl w:val="0"/>
          <w:lang w:val="it-IT"/>
        </w:rPr>
        <w:tab/>
        <w:tab/>
        <w:t>Yuroba (Nigeria)</w:t>
      </w:r>
    </w:p>
    <w:p>
      <w:pPr>
        <w:pStyle w:val="Body A"/>
        <w:jc w:val="both"/>
        <w:rPr>
          <w:sz w:val="24"/>
          <w:szCs w:val="24"/>
          <w:rtl w:val="0"/>
        </w:rPr>
      </w:pPr>
      <w:r>
        <w:rPr>
          <w:sz w:val="24"/>
          <w:szCs w:val="24"/>
          <w:rtl w:val="0"/>
          <w:lang w:val="en-US"/>
        </w:rPr>
        <w:t xml:space="preserve">In addition, some respondents traced their ethnic origins to more than one (a combination of two) ethnolinguistic groups in Ghana. For instance, Ga-Ewe, Ga-Fante (Akan), Dangbe-Akan.  However, when participants were asked to indicate their first language/mother tongue, 26 distinct indigenous languages (including two Nigerian languages) were identified while many participants indicated a combination of the languages listed above as being their L1. Thus, the analysis of the data from the sample of the urban population studied reveals/confirms that urban populations in Ghana are highly multiethnic. It is also important to note that in highly multilingual communities, it is possible to have more than </w:t>
      </w:r>
      <w:r>
        <w:rPr>
          <w:sz w:val="24"/>
          <w:szCs w:val="24"/>
          <w:rtl w:val="0"/>
          <w:lang w:val="it-IT"/>
        </w:rPr>
        <w:t xml:space="preserve">one </w:t>
      </w:r>
      <w:r>
        <w:rPr>
          <w:sz w:val="24"/>
          <w:szCs w:val="24"/>
          <w:rtl w:val="0"/>
          <w:lang w:val="en-US"/>
        </w:rPr>
        <w:t>first language/mother tongue. The respondents were drawn from different socio economic backgrounds which is reflected in the type of health care facility they used. Figures 1 and 2 reveal health facilities respondents used and their socioeconomic backgrounds respectively:</w:t>
      </w:r>
      <w:r>
        <w:rPr>
          <w:sz w:val="24"/>
          <w:szCs w:val="24"/>
          <w:rtl w:val="0"/>
        </w:rPr>
        <w:drawing>
          <wp:anchor distT="152400" distB="152400" distL="152400" distR="152400" simplePos="0" relativeHeight="251659264" behindDoc="0" locked="0" layoutInCell="1" allowOverlap="1">
            <wp:simplePos x="0" y="0"/>
            <wp:positionH relativeFrom="page">
              <wp:posOffset>2043755</wp:posOffset>
            </wp:positionH>
            <wp:positionV relativeFrom="line">
              <wp:posOffset>358879</wp:posOffset>
            </wp:positionV>
            <wp:extent cx="3022750" cy="2638384"/>
            <wp:effectExtent l="0" t="0" r="0" b="0"/>
            <wp:wrapThrough wrapText="bothSides" distL="152400" distR="152400">
              <wp:wrapPolygon edited="1">
                <wp:start x="0" y="0"/>
                <wp:lineTo x="0" y="21600"/>
                <wp:lineTo x="20862" y="21600"/>
                <wp:lineTo x="20862"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4">
                      <a:extLst/>
                    </a:blip>
                    <a:srcRect l="0" t="0" r="24447" b="29971"/>
                    <a:stretch>
                      <a:fillRect/>
                    </a:stretch>
                  </pic:blipFill>
                  <pic:spPr>
                    <a:xfrm>
                      <a:off x="0" y="0"/>
                      <a:ext cx="3022750" cy="2638384"/>
                    </a:xfrm>
                    <a:prstGeom prst="rect">
                      <a:avLst/>
                    </a:prstGeom>
                    <a:ln w="12700" cap="flat">
                      <a:noFill/>
                      <a:miter lim="400000"/>
                    </a:ln>
                    <a:effectLst/>
                  </pic:spPr>
                </pic:pic>
              </a:graphicData>
            </a:graphic>
          </wp:anchor>
        </w:drawing>
      </w: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r>
        <w:rPr>
          <w:sz w:val="24"/>
          <w:szCs w:val="24"/>
          <w:rtl w:val="0"/>
        </w:rPr>
        <w:drawing>
          <wp:anchor distT="152400" distB="152400" distL="152400" distR="152400" simplePos="0" relativeHeight="251660288" behindDoc="0" locked="0" layoutInCell="1" allowOverlap="1">
            <wp:simplePos x="0" y="0"/>
            <wp:positionH relativeFrom="page">
              <wp:posOffset>1838325</wp:posOffset>
            </wp:positionH>
            <wp:positionV relativeFrom="line">
              <wp:posOffset>66675</wp:posOffset>
            </wp:positionV>
            <wp:extent cx="4478655" cy="2857500"/>
            <wp:effectExtent l="0" t="0" r="0" b="0"/>
            <wp:wrapThrough wrapText="bothSides" distL="152400" distR="152400">
              <wp:wrapPolygon edited="1">
                <wp:start x="0" y="0"/>
                <wp:lineTo x="0" y="16850"/>
                <wp:lineTo x="16312" y="16850"/>
                <wp:lineTo x="16312" y="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pic:nvPicPr>
                  <pic:blipFill>
                    <a:blip r:embed="rId5">
                      <a:extLst/>
                    </a:blip>
                    <a:stretch>
                      <a:fillRect/>
                    </a:stretch>
                  </pic:blipFill>
                  <pic:spPr>
                    <a:xfrm>
                      <a:off x="0" y="0"/>
                      <a:ext cx="4478655" cy="2857500"/>
                    </a:xfrm>
                    <a:prstGeom prst="rect">
                      <a:avLst/>
                    </a:prstGeom>
                    <a:ln w="12700" cap="flat">
                      <a:noFill/>
                      <a:miter lim="400000"/>
                    </a:ln>
                    <a:effectLst/>
                  </pic:spPr>
                </pic:pic>
              </a:graphicData>
            </a:graphic>
          </wp:anchor>
        </w:drawing>
      </w: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sz w:val="24"/>
          <w:szCs w:val="24"/>
          <w:rtl w:val="0"/>
        </w:rPr>
      </w:pPr>
    </w:p>
    <w:p>
      <w:pPr>
        <w:pStyle w:val="Body A"/>
        <w:jc w:val="both"/>
        <w:rPr>
          <w:rFonts w:ascii="Times New Roman Bold" w:cs="Times New Roman Bold" w:hAnsi="Times New Roman Bold" w:eastAsia="Times New Roman Bold"/>
          <w:sz w:val="24"/>
          <w:szCs w:val="24"/>
          <w:rtl w:val="0"/>
        </w:rPr>
      </w:pPr>
      <w:r>
        <w:rPr>
          <w:rFonts w:ascii="Times New Roman Bold"/>
          <w:sz w:val="24"/>
          <w:szCs w:val="24"/>
          <w:rtl w:val="0"/>
          <w:lang w:val="en-US"/>
        </w:rPr>
        <w:t>3.2 Characteristics of Health Worker Respondents</w:t>
      </w:r>
    </w:p>
    <w:p>
      <w:pPr>
        <w:pStyle w:val="Body A"/>
        <w:jc w:val="both"/>
        <w:rPr>
          <w:sz w:val="24"/>
          <w:szCs w:val="24"/>
          <w:rtl w:val="0"/>
        </w:rPr>
      </w:pPr>
      <w:r>
        <w:rPr>
          <w:sz w:val="24"/>
          <w:szCs w:val="24"/>
          <w:rtl w:val="0"/>
          <w:lang w:val="en-US"/>
        </w:rPr>
        <w:t xml:space="preserve">     The 20 health worker respondents consisted of 14 (70%) females and 6 (30%) males with </w:t>
      </w:r>
      <w:r>
        <w:rPr>
          <w:sz w:val="24"/>
          <w:szCs w:val="24"/>
          <w:rtl w:val="0"/>
          <w:lang w:val="fr-FR"/>
        </w:rPr>
        <w:t>ages</w:t>
      </w:r>
      <w:r>
        <w:rPr>
          <w:sz w:val="24"/>
          <w:szCs w:val="24"/>
          <w:rtl w:val="0"/>
          <w:lang w:val="en-US"/>
        </w:rPr>
        <w:t xml:space="preserve"> ranging between 21 and 50. However, majority of the respondents (95%) were between the ages of 21 and 40 with only 5% being between 41 and 50.  In addition, 55% of respondents were medical doctors, 25% nurses, 10% lab technicians/technologists, 5% health information officers while 5% pharmacists. The respondents reported as working in a variety of health facilities (both private and public) including teaching hospitals, regional hospitals, district/municipal hospitals, polyclinics, health posts, laboratories, pharmacies and CHIP compounds. Again, all participants were literate in English and agreed to voluntarily fill the online forms.</w:t>
      </w:r>
    </w:p>
    <w:p>
      <w:pPr>
        <w:pStyle w:val="Body A"/>
        <w:jc w:val="both"/>
        <w:rPr>
          <w:sz w:val="24"/>
          <w:szCs w:val="24"/>
          <w:rtl w:val="0"/>
        </w:rPr>
      </w:pPr>
      <w:r>
        <w:rPr>
          <w:sz w:val="24"/>
          <w:szCs w:val="24"/>
          <w:rtl w:val="0"/>
          <w:lang w:val="en-US"/>
        </w:rPr>
        <w:t xml:space="preserve">     In order to be able to comment on the level of potential miscommunication between health workers in Ghana and their patients in the health care delivery system, we decided to map out the ethnolinguistic and sociolinguistic profile of the 20 health worker participants also. In terms of ethnic origin, the 65% of 20 health workers indicated as belonging to 4 out of the over 80 ethnolinguistic groups in the country - Akan (50%), Ga (5%), Ewe (5%) and Kus</w:t>
      </w:r>
      <w:r>
        <w:rPr>
          <w:sz w:val="24"/>
          <w:szCs w:val="24"/>
          <w:rtl w:val="0"/>
          <w:lang w:val="en-US"/>
        </w:rPr>
        <w:t>a</w:t>
      </w:r>
      <w:r>
        <w:rPr>
          <w:sz w:val="24"/>
          <w:szCs w:val="24"/>
          <w:rtl w:val="0"/>
          <w:lang w:val="en-US"/>
        </w:rPr>
        <w:t xml:space="preserve">si (5%). The remaining 35% did not indicate their ethnic origin. Nevertheless, only two languages, Akan (90%) and Kusasi (5%) were reported as the main spoken indigenous Ghanaian languages. The remaining 5% did not speak any indigenous Ghanaian language. Again, when we asked participants to indicate what other Ghanaian languages they can speak fluently apart from their L1s, only 20% spoke more than one (2-4) Ghanaian languages. A whopping 75% reported as speaking only one Ghanaian language even though they were all fluent in English. This finding supports the claim that in highly multilingual communities, we cannot simply make an essentialist assumption about the relationship between ethnic and sociolinguistic identities. </w:t>
      </w:r>
    </w:p>
    <w:p>
      <w:pPr>
        <w:pStyle w:val="Body A"/>
        <w:jc w:val="both"/>
        <w:rPr>
          <w:sz w:val="24"/>
          <w:szCs w:val="24"/>
          <w:rtl w:val="0"/>
        </w:rPr>
      </w:pPr>
    </w:p>
    <w:p>
      <w:pPr>
        <w:pStyle w:val="Body A"/>
        <w:jc w:val="both"/>
        <w:rPr>
          <w:rFonts w:ascii="Times New Roman Bold" w:cs="Times New Roman Bold" w:hAnsi="Times New Roman Bold" w:eastAsia="Times New Roman Bold"/>
          <w:sz w:val="24"/>
          <w:szCs w:val="24"/>
          <w:rtl w:val="0"/>
        </w:rPr>
      </w:pPr>
      <w:r>
        <w:rPr>
          <w:rFonts w:ascii="Times New Roman Bold"/>
          <w:sz w:val="24"/>
          <w:szCs w:val="24"/>
          <w:rtl w:val="0"/>
          <w:lang w:val="en-US"/>
        </w:rPr>
        <w:t>4. The Language(s) of Health Communication in Urban Ghana</w:t>
      </w:r>
    </w:p>
    <w:p>
      <w:pPr>
        <w:pStyle w:val="Body A"/>
        <w:jc w:val="both"/>
        <w:rPr>
          <w:sz w:val="24"/>
          <w:szCs w:val="24"/>
          <w:rtl w:val="0"/>
          <w:lang w:val="en-US"/>
        </w:rPr>
      </w:pPr>
      <w:r>
        <w:rPr>
          <w:sz w:val="24"/>
          <w:szCs w:val="24"/>
          <w:rtl w:val="0"/>
          <w:lang w:val="en-US"/>
        </w:rPr>
        <w:t xml:space="preserve">     In this section, we present the findings on the language(s) that are used to access and provide health services in urban Ghana. First of all, we asked participants to indicate the language(s) that is/are used in the health facility where they provide or access health care. Among the health worker participants, 90% indicated Akan, 5% Ga and 5% English as the main language (s) of the facilities where they provide health care services. However, among the patient respondents, 64% indicated that English was the main (and only) language used in their facilities, 15% indicated Ghanaian language (mainly Akan) only, 4% said a combination of English and a Ghanaian language and 17% of respondents did not indicate any language at all.  Figure 3 below presents the main languages spoken in health facilities in urban Ghana on a chart:</w:t>
      </w:r>
    </w:p>
    <w:p>
      <w:pPr>
        <w:pStyle w:val="Body A"/>
        <w:jc w:val="both"/>
        <w:rPr>
          <w:sz w:val="24"/>
          <w:szCs w:val="24"/>
          <w:rtl w:val="0"/>
        </w:rPr>
      </w:pPr>
      <w:r>
        <w:rPr>
          <w:sz w:val="24"/>
          <w:szCs w:val="24"/>
          <w:rtl w:val="0"/>
        </w:rPr>
        <w:drawing>
          <wp:anchor distT="0" distB="0" distL="1190" distR="1190" simplePos="0" relativeHeight="251662336" behindDoc="0" locked="0" layoutInCell="1" allowOverlap="1">
            <wp:simplePos x="0" y="0"/>
            <wp:positionH relativeFrom="margin">
              <wp:posOffset>1016686</wp:posOffset>
            </wp:positionH>
            <wp:positionV relativeFrom="line">
              <wp:posOffset>810153</wp:posOffset>
            </wp:positionV>
            <wp:extent cx="3335919" cy="1455252"/>
            <wp:effectExtent l="0" t="0" r="0" b="0"/>
            <wp:wrapTopAndBottom distT="0" distB="0"/>
            <wp:docPr id="1073741827" name="officeArt object"/>
            <wp:cNvGraphicFramePr/>
            <a:graphic xmlns:a="http://schemas.openxmlformats.org/drawingml/2006/main">
              <a:graphicData uri="http://schemas.openxmlformats.org/drawingml/2006/chart">
                <c:chart xmlns:c="http://schemas.openxmlformats.org/drawingml/2006/chart" r:id="rId6"/>
              </a:graphicData>
            </a:graphic>
          </wp:anchor>
        </w:drawing>
      </w:r>
    </w:p>
    <w:p>
      <w:pPr>
        <w:pStyle w:val="Body A"/>
        <w:jc w:val="both"/>
        <w:rPr>
          <w:rFonts w:ascii="Times New Roman Bold" w:cs="Times New Roman Bold" w:hAnsi="Times New Roman Bold" w:eastAsia="Times New Roman Bold"/>
          <w:sz w:val="20"/>
          <w:szCs w:val="20"/>
          <w:rtl w:val="0"/>
          <w:lang w:val="fr-FR"/>
        </w:rPr>
      </w:pPr>
      <w:r>
        <w:rPr>
          <w:sz w:val="24"/>
          <w:szCs w:val="24"/>
          <w:rtl w:val="0"/>
          <w:lang w:val="en-US"/>
        </w:rPr>
        <w:t xml:space="preserve">            </w:t>
      </w:r>
      <w:r>
        <w:rPr>
          <w:rFonts w:ascii="Times New Roman Bold"/>
          <w:sz w:val="20"/>
          <w:szCs w:val="20"/>
          <w:rtl w:val="0"/>
          <w:lang w:val="en-US"/>
        </w:rPr>
        <w:t>Figure 3. Languages spoken at health facility</w:t>
      </w:r>
      <w:r>
        <w:rPr>
          <w:rFonts w:ascii="Times New Roman Bold"/>
          <w:sz w:val="20"/>
          <w:szCs w:val="20"/>
          <w:rtl w:val="0"/>
          <w:lang w:val="fr-FR"/>
        </w:rPr>
        <w:t xml:space="preserve"> of patient respondents.</w:t>
      </w:r>
    </w:p>
    <w:p>
      <w:pPr>
        <w:pStyle w:val="Body A"/>
        <w:jc w:val="both"/>
        <w:rPr>
          <w:sz w:val="24"/>
          <w:szCs w:val="24"/>
          <w:rtl w:val="0"/>
        </w:rPr>
      </w:pPr>
    </w:p>
    <w:p>
      <w:pPr>
        <w:pStyle w:val="Body A"/>
        <w:jc w:val="both"/>
        <w:rPr>
          <w:sz w:val="24"/>
          <w:szCs w:val="24"/>
          <w:rtl w:val="0"/>
        </w:rPr>
      </w:pPr>
      <w:r>
        <w:rPr>
          <w:rFonts w:ascii="Times New Roman Bold"/>
          <w:sz w:val="24"/>
          <w:szCs w:val="24"/>
          <w:rtl w:val="0"/>
          <w:lang w:val="fr-FR"/>
        </w:rPr>
        <w:t xml:space="preserve">     </w:t>
      </w:r>
      <w:r>
        <w:rPr>
          <w:sz w:val="24"/>
          <w:szCs w:val="24"/>
          <w:rtl w:val="0"/>
          <w:lang w:val="en-US"/>
        </w:rPr>
        <w:t xml:space="preserve">In trying to understand how linguistic minority groups access health care delivery in these facilities, we tried to ascertain from respondents whether the health facilities had any language services, e.g., interpretation, and whether such services were made known to patients. In this regard, only 10% of health worker respondents indicated that their facilities had language services; 60% said a definite no, and 30% said they were not sure that their facilities had such services. Similarly, only 10% of the health worker respondents indicated certainty that patients in their facilities are made aware of language services, 50% were not sure that this was done while 45% said that even where such services existed, patients were not made aware of them. Among the patient respondents, only 48% said that they were certain of language services in their health care facility. However, only 29% said their facilities make patients aware of available language services; 21% of them were not sure and 50% said no, their health care facilities did not make language services known to patients. Thus, there does not seem to be any consistent language policy in health communication in a country with high levels of multilingualism, especially, among urban populations. </w:t>
      </w:r>
    </w:p>
    <w:p>
      <w:pPr>
        <w:pStyle w:val="Body A"/>
        <w:jc w:val="both"/>
        <w:rPr>
          <w:sz w:val="24"/>
          <w:szCs w:val="24"/>
          <w:rtl w:val="0"/>
        </w:rPr>
      </w:pPr>
      <w:r>
        <w:rPr>
          <w:sz w:val="24"/>
          <w:szCs w:val="24"/>
          <w:rtl w:val="0"/>
          <w:lang w:val="en-US"/>
        </w:rPr>
        <w:t xml:space="preserve">     In the absence of any clear language policy in health delivery facilities in urban Ghana, we asked participants to indicate the language (s) they used to communicate in the health delivery process. Among health worker participants, 11 out of the 20 (55%) reported as using a Ghanaian language (Akan) only, 6 (30 %) switched between Ghanaian language and English and 3 (15%) reported as using English only. Among the patient respondents, however, 70% said they used English only, with the remaining 30% indicating three (3) out of the 25 indigenous Ghanaian languages indicated above. Thus, even though the data from patient respondents and health worker respondents appear to show  different patterns, a critical look at the two patterns of respondents</w:t>
      </w:r>
      <w:r>
        <w:rPr>
          <w:rFonts w:hAnsi="Times New Roman" w:hint="default"/>
          <w:sz w:val="24"/>
          <w:szCs w:val="24"/>
          <w:rtl w:val="0"/>
          <w:lang w:val="en-US"/>
        </w:rPr>
        <w:t xml:space="preserve">’ </w:t>
      </w:r>
      <w:r>
        <w:rPr>
          <w:sz w:val="24"/>
          <w:szCs w:val="24"/>
          <w:rtl w:val="0"/>
          <w:lang w:val="en-US"/>
        </w:rPr>
        <w:t xml:space="preserve">choice of language  of communication in health care delivery system point to a strong possibility that the main language of health care delivery in urban contexts is an L2 (Akan or English) for majority of the people, both health workers or patients, a probable index of miscommunication in health delivery services in urban Ghana. </w:t>
      </w:r>
    </w:p>
    <w:p>
      <w:pPr>
        <w:pStyle w:val="Body A"/>
        <w:jc w:val="both"/>
        <w:rPr>
          <w:sz w:val="24"/>
          <w:szCs w:val="24"/>
          <w:rtl w:val="0"/>
          <w:lang w:val="en-US"/>
        </w:rPr>
      </w:pPr>
      <w:r>
        <w:rPr>
          <w:sz w:val="24"/>
          <w:szCs w:val="24"/>
          <w:rtl w:val="0"/>
          <w:lang w:val="en-US"/>
        </w:rPr>
        <w:t xml:space="preserve">     In trying to ascertain whether the situation was peculiar to only certain types of health facilities, we run a cross tabulation analysis from patient perspective. The data revealed that 69% of patients who visited government facilities indicated that they accessed health care services in English only, 27% did so using Ghanaian language (mostly Akan) only, and 4% using both Ghanaian language and English (code switching). Among patients who accessed health care services from private health facilities, 91% indicated English only, 4% Ghanaian language and another 4% switched between English and  a Ghanaian language. Table 2 below is a cross tabulation of type of health facility accessed and language (s) spoken at health facilities:</w:t>
      </w:r>
    </w:p>
    <w:p>
      <w:pPr>
        <w:pStyle w:val="Body A"/>
        <w:jc w:val="both"/>
        <w:rPr>
          <w:sz w:val="24"/>
          <w:szCs w:val="24"/>
          <w:rtl w:val="0"/>
        </w:rPr>
      </w:pPr>
    </w:p>
    <w:tbl>
      <w:tblPr>
        <w:tblW w:w="7739"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105"/>
        <w:gridCol w:w="1106"/>
        <w:gridCol w:w="1106"/>
        <w:gridCol w:w="1105"/>
        <w:gridCol w:w="1106"/>
        <w:gridCol w:w="1106"/>
        <w:gridCol w:w="1105"/>
      </w:tblGrid>
      <w:tr>
        <w:tblPrEx>
          <w:shd w:val="clear" w:color="auto" w:fill="auto"/>
        </w:tblPrEx>
        <w:trPr>
          <w:trHeight w:val="1512" w:hRule="atLeast"/>
        </w:trPr>
        <w:tc>
          <w:tcPr>
            <w:tcW w:type="dxa" w:w="1105"/>
            <w:tcBorders>
              <w:top w:val="single" w:color="aaaaaa" w:sz="8" w:space="0" w:shadow="0" w:frame="0"/>
              <w:left w:val="single" w:color="000000" w:sz="24" w:space="0" w:shadow="0" w:frame="0"/>
              <w:bottom w:val="single" w:color="000000" w:sz="24" w:space="0" w:shadow="0" w:frame="0"/>
              <w:right w:val="single" w:color="aaaaaa" w:sz="8" w:space="0" w:shadow="0" w:frame="0"/>
            </w:tcBorders>
            <w:shd w:val="clear" w:color="auto" w:fill="auto"/>
            <w:tcMar>
              <w:top w:type="dxa" w:w="80"/>
              <w:left w:type="dxa" w:w="80"/>
              <w:bottom w:type="dxa" w:w="80"/>
              <w:right w:type="dxa" w:w="80"/>
            </w:tcMar>
            <w:vAlign w:val="bottom"/>
          </w:tcPr>
          <w:p/>
        </w:tc>
        <w:tc>
          <w:tcPr>
            <w:tcW w:type="dxa" w:w="1105"/>
            <w:tcBorders>
              <w:top w:val="single" w:color="aaaaaa" w:sz="8" w:space="0" w:shadow="0" w:frame="0"/>
              <w:left w:val="single" w:color="aaaaaa" w:sz="8" w:space="0" w:shadow="0" w:frame="0"/>
              <w:bottom w:val="single" w:color="000000" w:sz="24" w:space="0" w:shadow="0" w:frame="0"/>
              <w:right w:val="single" w:color="000000" w:sz="24" w:space="0" w:shadow="0" w:frame="0"/>
            </w:tcBorders>
            <w:shd w:val="clear" w:color="auto" w:fill="auto"/>
            <w:tcMar>
              <w:top w:type="dxa" w:w="80"/>
              <w:left w:type="dxa" w:w="80"/>
              <w:bottom w:type="dxa" w:w="80"/>
              <w:right w:type="dxa" w:w="80"/>
            </w:tcMar>
            <w:vAlign w:val="bottom"/>
          </w:tcPr>
          <w:p/>
        </w:tc>
        <w:tc>
          <w:tcPr>
            <w:tcW w:type="dxa" w:w="1105"/>
            <w:tcBorders>
              <w:top w:val="single" w:color="000000" w:sz="8" w:space="0" w:shadow="0" w:frame="0"/>
              <w:left w:val="single" w:color="000000" w:sz="24" w:space="0" w:shadow="0" w:frame="0"/>
              <w:bottom w:val="single" w:color="000000" w:sz="24" w:space="0" w:shadow="0" w:frame="0"/>
              <w:right w:val="single" w:color="000000" w:sz="8" w:space="0" w:shadow="0" w:frame="0"/>
            </w:tcBorders>
            <w:shd w:val="clear" w:color="auto" w:fill="auto"/>
            <w:tcMar>
              <w:top w:type="dxa" w:w="80"/>
              <w:left w:type="dxa" w:w="80"/>
              <w:bottom w:type="dxa" w:w="80"/>
              <w:right w:type="dxa" w:w="80"/>
            </w:tcMar>
            <w:vAlign w:val="bottom"/>
          </w:tcPr>
          <w:p>
            <w:pPr>
              <w:pStyle w:val="Table Style 2 A"/>
              <w:jc w:val="center"/>
            </w:pPr>
            <w:r>
              <w:rPr>
                <w:rFonts w:ascii="Arial"/>
                <w:caps w:val="0"/>
                <w:smallCaps w:val="0"/>
                <w:strike w:val="0"/>
                <w:dstrike w:val="0"/>
                <w:outline w:val="0"/>
                <w:color w:val="000000"/>
                <w:spacing w:val="0"/>
                <w:kern w:val="0"/>
                <w:position w:val="0"/>
                <w:sz w:val="24"/>
                <w:szCs w:val="24"/>
                <w:u w:val="none" w:color="000000"/>
                <w:vertAlign w:val="baseline"/>
                <w:rtl w:val="0"/>
                <w:lang w:val="en-US"/>
              </w:rPr>
              <w:t>government facility</w:t>
            </w:r>
          </w:p>
        </w:tc>
        <w:tc>
          <w:tcPr>
            <w:tcW w:type="dxa" w:w="1105"/>
            <w:tcBorders>
              <w:top w:val="single" w:color="000000" w:sz="8" w:space="0" w:shadow="0" w:frame="0"/>
              <w:left w:val="single" w:color="000000" w:sz="8" w:space="0" w:shadow="0" w:frame="0"/>
              <w:bottom w:val="single" w:color="000000" w:sz="24" w:space="0" w:shadow="0" w:frame="0"/>
              <w:right w:val="single" w:color="000000" w:sz="8" w:space="0" w:shadow="0" w:frame="0"/>
            </w:tcBorders>
            <w:shd w:val="clear" w:color="auto" w:fill="auto"/>
            <w:tcMar>
              <w:top w:type="dxa" w:w="80"/>
              <w:left w:type="dxa" w:w="80"/>
              <w:bottom w:type="dxa" w:w="80"/>
              <w:right w:type="dxa" w:w="80"/>
            </w:tcMar>
            <w:vAlign w:val="bottom"/>
          </w:tcPr>
          <w:p>
            <w:pPr>
              <w:pStyle w:val="Table Style 2 A"/>
              <w:jc w:val="center"/>
            </w:pPr>
            <w:r>
              <w:rPr>
                <w:rFonts w:ascii="Arial"/>
                <w:caps w:val="0"/>
                <w:smallCaps w:val="0"/>
                <w:strike w:val="0"/>
                <w:dstrike w:val="0"/>
                <w:outline w:val="0"/>
                <w:color w:val="000000"/>
                <w:spacing w:val="0"/>
                <w:kern w:val="0"/>
                <w:position w:val="0"/>
                <w:sz w:val="24"/>
                <w:szCs w:val="24"/>
                <w:u w:val="none" w:color="000000"/>
                <w:vertAlign w:val="baseline"/>
                <w:rtl w:val="0"/>
                <w:lang w:val="en-US"/>
              </w:rPr>
              <w:t>Private facility</w:t>
            </w:r>
          </w:p>
        </w:tc>
        <w:tc>
          <w:tcPr>
            <w:tcW w:type="dxa" w:w="1105"/>
            <w:tcBorders>
              <w:top w:val="single" w:color="000000" w:sz="8" w:space="0" w:shadow="0" w:frame="0"/>
              <w:left w:val="single" w:color="000000" w:sz="8" w:space="0" w:shadow="0" w:frame="0"/>
              <w:bottom w:val="single" w:color="000000" w:sz="24" w:space="0" w:shadow="0" w:frame="0"/>
              <w:right w:val="single" w:color="000000" w:sz="8" w:space="0" w:shadow="0" w:frame="0"/>
            </w:tcBorders>
            <w:shd w:val="clear" w:color="auto" w:fill="auto"/>
            <w:tcMar>
              <w:top w:type="dxa" w:w="80"/>
              <w:left w:type="dxa" w:w="80"/>
              <w:bottom w:type="dxa" w:w="80"/>
              <w:right w:type="dxa" w:w="80"/>
            </w:tcMar>
            <w:vAlign w:val="bottom"/>
          </w:tcPr>
          <w:p>
            <w:pPr>
              <w:pStyle w:val="Table Style 2 A"/>
              <w:jc w:val="center"/>
            </w:pPr>
            <w:r>
              <w:rPr>
                <w:rFonts w:ascii="Arial"/>
                <w:caps w:val="0"/>
                <w:smallCaps w:val="0"/>
                <w:strike w:val="0"/>
                <w:dstrike w:val="0"/>
                <w:outline w:val="0"/>
                <w:color w:val="000000"/>
                <w:spacing w:val="0"/>
                <w:kern w:val="0"/>
                <w:position w:val="0"/>
                <w:sz w:val="24"/>
                <w:szCs w:val="24"/>
                <w:u w:val="none" w:color="000000"/>
                <w:vertAlign w:val="baseline"/>
                <w:rtl w:val="0"/>
                <w:lang w:val="en-US"/>
              </w:rPr>
              <w:t>Traditional facility/ herbalist</w:t>
            </w:r>
          </w:p>
        </w:tc>
        <w:tc>
          <w:tcPr>
            <w:tcW w:type="dxa" w:w="1105"/>
            <w:tcBorders>
              <w:top w:val="single" w:color="000000" w:sz="8" w:space="0" w:shadow="0" w:frame="0"/>
              <w:left w:val="single" w:color="000000" w:sz="8" w:space="0" w:shadow="0" w:frame="0"/>
              <w:bottom w:val="single" w:color="000000" w:sz="24" w:space="0" w:shadow="0" w:frame="0"/>
              <w:right w:val="single" w:color="000000" w:sz="8" w:space="0" w:shadow="0" w:frame="0"/>
            </w:tcBorders>
            <w:shd w:val="clear" w:color="auto" w:fill="auto"/>
            <w:tcMar>
              <w:top w:type="dxa" w:w="80"/>
              <w:left w:type="dxa" w:w="80"/>
              <w:bottom w:type="dxa" w:w="80"/>
              <w:right w:type="dxa" w:w="80"/>
            </w:tcMar>
            <w:vAlign w:val="bottom"/>
          </w:tcPr>
          <w:p>
            <w:pPr>
              <w:pStyle w:val="Table Style 2 A"/>
              <w:jc w:val="center"/>
            </w:pPr>
            <w:r>
              <w:rPr>
                <w:rFonts w:ascii="Arial"/>
                <w:caps w:val="0"/>
                <w:smallCaps w:val="0"/>
                <w:strike w:val="0"/>
                <w:dstrike w:val="0"/>
                <w:outline w:val="0"/>
                <w:color w:val="000000"/>
                <w:spacing w:val="0"/>
                <w:kern w:val="0"/>
                <w:position w:val="0"/>
                <w:sz w:val="24"/>
                <w:szCs w:val="24"/>
                <w:u w:val="none" w:color="000000"/>
                <w:vertAlign w:val="baseline"/>
                <w:rtl w:val="0"/>
                <w:lang w:val="en-US"/>
              </w:rPr>
              <w:t>both government and private</w:t>
            </w:r>
          </w:p>
        </w:tc>
        <w:tc>
          <w:tcPr>
            <w:tcW w:type="dxa" w:w="1105"/>
            <w:tcBorders>
              <w:top w:val="single" w:color="000000" w:sz="8" w:space="0" w:shadow="0" w:frame="0"/>
              <w:left w:val="single" w:color="000000" w:sz="8" w:space="0" w:shadow="0" w:frame="0"/>
              <w:bottom w:val="single" w:color="000000" w:sz="24" w:space="0" w:shadow="0" w:frame="0"/>
              <w:right w:val="single" w:color="000000" w:sz="24" w:space="0" w:shadow="0" w:frame="0"/>
            </w:tcBorders>
            <w:shd w:val="clear" w:color="auto" w:fill="auto"/>
            <w:tcMar>
              <w:top w:type="dxa" w:w="80"/>
              <w:left w:type="dxa" w:w="80"/>
              <w:bottom w:type="dxa" w:w="80"/>
              <w:right w:type="dxa" w:w="80"/>
            </w:tcMar>
            <w:vAlign w:val="bottom"/>
          </w:tcPr>
          <w:p>
            <w:pPr>
              <w:pStyle w:val="Body"/>
            </w:pPr>
            <w:r>
              <w:rPr>
                <w:rFonts w:ascii="Times New Roman" w:cs="Arial Unicode MS" w:hAnsi="Arial Unicode MS" w:eastAsia="Arial Unicode MS"/>
                <w:rtl w:val="0"/>
              </w:rPr>
              <w:t>Total</w:t>
            </w:r>
          </w:p>
        </w:tc>
      </w:tr>
      <w:tr>
        <w:tblPrEx>
          <w:shd w:val="clear" w:color="auto" w:fill="auto"/>
        </w:tblPrEx>
        <w:trPr>
          <w:trHeight w:val="854" w:hRule="atLeast"/>
        </w:trPr>
        <w:tc>
          <w:tcPr>
            <w:tcW w:type="dxa" w:w="1105"/>
            <w:vMerge w:val="restart"/>
            <w:tcBorders>
              <w:top w:val="single" w:color="000000" w:sz="24" w:space="0" w:shadow="0" w:frame="0"/>
              <w:left w:val="single" w:color="000000" w:sz="24" w:space="0" w:shadow="0" w:frame="0"/>
              <w:bottom w:val="single" w:color="aaaaaa" w:sz="8" w:space="0" w:shadow="0" w:frame="0"/>
              <w:right w:val="single" w:color="aaaaaa" w:sz="8" w:space="0" w:shadow="0" w:frame="0"/>
            </w:tcBorders>
            <w:shd w:val="clear" w:color="auto" w:fill="auto"/>
            <w:tcMar>
              <w:top w:type="dxa" w:w="80"/>
              <w:left w:type="dxa" w:w="80"/>
              <w:bottom w:type="dxa" w:w="80"/>
              <w:right w:type="dxa" w:w="80"/>
            </w:tcMar>
            <w:vAlign w:val="center"/>
          </w:tcPr>
          <w:p>
            <w:pPr>
              <w:pStyle w:val="Table Style 2 A"/>
            </w:pPr>
            <w:r>
              <w:rPr>
                <w:rFonts w:ascii="Arial"/>
                <w:caps w:val="0"/>
                <w:smallCaps w:val="0"/>
                <w:strike w:val="0"/>
                <w:dstrike w:val="0"/>
                <w:outline w:val="0"/>
                <w:color w:val="000000"/>
                <w:spacing w:val="0"/>
                <w:kern w:val="0"/>
                <w:position w:val="0"/>
                <w:sz w:val="24"/>
                <w:szCs w:val="24"/>
                <w:u w:val="none" w:color="000000"/>
                <w:vertAlign w:val="baseline"/>
                <w:rtl w:val="0"/>
                <w:lang w:val="en-US"/>
              </w:rPr>
              <w:t>FacilityLang</w:t>
            </w:r>
          </w:p>
        </w:tc>
        <w:tc>
          <w:tcPr>
            <w:tcW w:type="dxa" w:w="1105"/>
            <w:tcBorders>
              <w:top w:val="single" w:color="000000" w:sz="24" w:space="0" w:shadow="0" w:frame="0"/>
              <w:left w:val="single" w:color="aaaaaa" w:sz="8" w:space="0" w:shadow="0" w:frame="0"/>
              <w:bottom w:val="single" w:color="aaaaaa" w:sz="8" w:space="0" w:shadow="0" w:frame="0"/>
              <w:right w:val="single" w:color="000000" w:sz="24" w:space="0" w:shadow="0" w:frame="0"/>
            </w:tcBorders>
            <w:shd w:val="clear" w:color="auto" w:fill="auto"/>
            <w:tcMar>
              <w:top w:type="dxa" w:w="80"/>
              <w:left w:type="dxa" w:w="80"/>
              <w:bottom w:type="dxa" w:w="80"/>
              <w:right w:type="dxa" w:w="80"/>
            </w:tcMar>
            <w:vAlign w:val="top"/>
          </w:tcPr>
          <w:p>
            <w:pPr>
              <w:pStyle w:val="Table Style 2 A"/>
            </w:pPr>
            <w:r>
              <w:rPr>
                <w:rFonts w:ascii="Arial"/>
                <w:caps w:val="0"/>
                <w:smallCaps w:val="0"/>
                <w:strike w:val="0"/>
                <w:dstrike w:val="0"/>
                <w:outline w:val="0"/>
                <w:color w:val="000000"/>
                <w:spacing w:val="0"/>
                <w:kern w:val="0"/>
                <w:position w:val="0"/>
                <w:sz w:val="24"/>
                <w:szCs w:val="24"/>
                <w:u w:val="none" w:color="000000"/>
                <w:vertAlign w:val="baseline"/>
                <w:rtl w:val="0"/>
                <w:lang w:val="en-US"/>
              </w:rPr>
              <w:t>English only</w:t>
            </w:r>
          </w:p>
        </w:tc>
        <w:tc>
          <w:tcPr>
            <w:tcW w:type="dxa" w:w="1105"/>
            <w:tcBorders>
              <w:top w:val="single" w:color="000000" w:sz="24" w:space="0" w:shadow="0" w:frame="0"/>
              <w:left w:val="single" w:color="000000" w:sz="24"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46</w:t>
            </w:r>
          </w:p>
        </w:tc>
        <w:tc>
          <w:tcPr>
            <w:tcW w:type="dxa" w:w="1105"/>
            <w:tcBorders>
              <w:top w:val="single" w:color="000000" w:sz="24" w:space="0" w:shadow="0" w:frame="0"/>
              <w:left w:val="single" w:color="000000" w:sz="8"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42</w:t>
            </w:r>
          </w:p>
        </w:tc>
        <w:tc>
          <w:tcPr>
            <w:tcW w:type="dxa" w:w="1105"/>
            <w:tcBorders>
              <w:top w:val="single" w:color="000000" w:sz="24" w:space="0" w:shadow="0" w:frame="0"/>
              <w:left w:val="single" w:color="000000" w:sz="8"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105"/>
            <w:tcBorders>
              <w:top w:val="single" w:color="000000" w:sz="24" w:space="0" w:shadow="0" w:frame="0"/>
              <w:left w:val="single" w:color="000000" w:sz="8"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5</w:t>
            </w:r>
          </w:p>
        </w:tc>
        <w:tc>
          <w:tcPr>
            <w:tcW w:type="dxa" w:w="1105"/>
            <w:tcBorders>
              <w:top w:val="single" w:color="000000" w:sz="24" w:space="0" w:shadow="0" w:frame="0"/>
              <w:left w:val="single" w:color="000000" w:sz="8" w:space="0" w:shadow="0" w:frame="0"/>
              <w:bottom w:val="single" w:color="aaaaaa" w:sz="8" w:space="0" w:shadow="0" w:frame="0"/>
              <w:right w:val="single" w:color="000000" w:sz="24"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94</w:t>
            </w:r>
          </w:p>
        </w:tc>
      </w:tr>
      <w:tr>
        <w:tblPrEx>
          <w:shd w:val="clear" w:color="auto" w:fill="auto"/>
        </w:tblPrEx>
        <w:trPr>
          <w:trHeight w:val="1372" w:hRule="atLeast"/>
        </w:trPr>
        <w:tc>
          <w:tcPr>
            <w:tcW w:type="dxa" w:w="1105"/>
            <w:vMerge w:val="continue"/>
            <w:tcBorders>
              <w:top w:val="single" w:color="000000" w:sz="24" w:space="0" w:shadow="0" w:frame="0"/>
              <w:left w:val="single" w:color="000000" w:sz="24" w:space="0" w:shadow="0" w:frame="0"/>
              <w:bottom w:val="single" w:color="aaaaaa" w:sz="8" w:space="0" w:shadow="0" w:frame="0"/>
              <w:right w:val="single" w:color="aaaaaa" w:sz="8" w:space="0" w:shadow="0" w:frame="0"/>
            </w:tcBorders>
            <w:shd w:val="clear" w:color="auto" w:fill="auto"/>
          </w:tcPr>
          <w:p/>
        </w:tc>
        <w:tc>
          <w:tcPr>
            <w:tcW w:type="dxa" w:w="1105"/>
            <w:tcBorders>
              <w:top w:val="single" w:color="aaaaaa" w:sz="8" w:space="0" w:shadow="0" w:frame="0"/>
              <w:left w:val="single" w:color="aaaaaa" w:sz="8" w:space="0" w:shadow="0" w:frame="0"/>
              <w:bottom w:val="single" w:color="aaaaaa" w:sz="8" w:space="0" w:shadow="0" w:frame="0"/>
              <w:right w:val="single" w:color="000000" w:sz="24" w:space="0" w:shadow="0" w:frame="0"/>
            </w:tcBorders>
            <w:shd w:val="clear" w:color="auto" w:fill="auto"/>
            <w:tcMar>
              <w:top w:type="dxa" w:w="80"/>
              <w:left w:type="dxa" w:w="80"/>
              <w:bottom w:type="dxa" w:w="80"/>
              <w:right w:type="dxa" w:w="80"/>
            </w:tcMar>
            <w:vAlign w:val="top"/>
          </w:tcPr>
          <w:p>
            <w:pPr>
              <w:pStyle w:val="Table Style 2 A"/>
            </w:pPr>
            <w:r>
              <w:rPr>
                <w:rFonts w:ascii="Arial"/>
                <w:caps w:val="0"/>
                <w:smallCaps w:val="0"/>
                <w:strike w:val="0"/>
                <w:dstrike w:val="0"/>
                <w:outline w:val="0"/>
                <w:color w:val="000000"/>
                <w:spacing w:val="0"/>
                <w:kern w:val="0"/>
                <w:position w:val="0"/>
                <w:sz w:val="24"/>
                <w:szCs w:val="24"/>
                <w:u w:val="none" w:color="000000"/>
                <w:vertAlign w:val="baseline"/>
                <w:rtl w:val="0"/>
                <w:lang w:val="en-US"/>
              </w:rPr>
              <w:t>Ghanaian language only</w:t>
            </w:r>
          </w:p>
        </w:tc>
        <w:tc>
          <w:tcPr>
            <w:tcW w:type="dxa" w:w="1105"/>
            <w:tcBorders>
              <w:top w:val="single" w:color="aaaaaa" w:sz="8" w:space="0" w:shadow="0" w:frame="0"/>
              <w:left w:val="single" w:color="000000" w:sz="24"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18</w:t>
            </w:r>
          </w:p>
        </w:tc>
        <w:tc>
          <w:tcPr>
            <w:tcW w:type="dxa" w:w="1105"/>
            <w:tcBorders>
              <w:top w:val="single" w:color="aaaaaa" w:sz="8" w:space="0" w:shadow="0" w:frame="0"/>
              <w:left w:val="single" w:color="000000" w:sz="8"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2</w:t>
            </w:r>
          </w:p>
        </w:tc>
        <w:tc>
          <w:tcPr>
            <w:tcW w:type="dxa" w:w="1105"/>
            <w:tcBorders>
              <w:top w:val="single" w:color="aaaaaa" w:sz="8" w:space="0" w:shadow="0" w:frame="0"/>
              <w:left w:val="single" w:color="000000" w:sz="8"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1</w:t>
            </w:r>
          </w:p>
        </w:tc>
        <w:tc>
          <w:tcPr>
            <w:tcW w:type="dxa" w:w="1105"/>
            <w:tcBorders>
              <w:top w:val="single" w:color="aaaaaa" w:sz="8" w:space="0" w:shadow="0" w:frame="0"/>
              <w:left w:val="single" w:color="000000" w:sz="8"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2</w:t>
            </w:r>
          </w:p>
        </w:tc>
        <w:tc>
          <w:tcPr>
            <w:tcW w:type="dxa" w:w="1105"/>
            <w:tcBorders>
              <w:top w:val="single" w:color="aaaaaa" w:sz="8" w:space="0" w:shadow="0" w:frame="0"/>
              <w:left w:val="single" w:color="000000" w:sz="8" w:space="0" w:shadow="0" w:frame="0"/>
              <w:bottom w:val="single" w:color="aaaaaa" w:sz="8" w:space="0" w:shadow="0" w:frame="0"/>
              <w:right w:val="single" w:color="000000" w:sz="24"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23</w:t>
            </w:r>
          </w:p>
        </w:tc>
      </w:tr>
      <w:tr>
        <w:tblPrEx>
          <w:shd w:val="clear" w:color="auto" w:fill="auto"/>
        </w:tblPrEx>
        <w:trPr>
          <w:trHeight w:val="1932" w:hRule="atLeast"/>
        </w:trPr>
        <w:tc>
          <w:tcPr>
            <w:tcW w:type="dxa" w:w="1105"/>
            <w:vMerge w:val="continue"/>
            <w:tcBorders>
              <w:top w:val="single" w:color="000000" w:sz="24" w:space="0" w:shadow="0" w:frame="0"/>
              <w:left w:val="single" w:color="000000" w:sz="24" w:space="0" w:shadow="0" w:frame="0"/>
              <w:bottom w:val="single" w:color="aaaaaa" w:sz="8" w:space="0" w:shadow="0" w:frame="0"/>
              <w:right w:val="single" w:color="aaaaaa" w:sz="8" w:space="0" w:shadow="0" w:frame="0"/>
            </w:tcBorders>
            <w:shd w:val="clear" w:color="auto" w:fill="auto"/>
          </w:tcPr>
          <w:p/>
        </w:tc>
        <w:tc>
          <w:tcPr>
            <w:tcW w:type="dxa" w:w="1105"/>
            <w:tcBorders>
              <w:top w:val="single" w:color="aaaaaa" w:sz="8" w:space="0" w:shadow="0" w:frame="0"/>
              <w:left w:val="single" w:color="aaaaaa" w:sz="8" w:space="0" w:shadow="0" w:frame="0"/>
              <w:bottom w:val="single" w:color="aaaaaa" w:sz="8" w:space="0" w:shadow="0" w:frame="0"/>
              <w:right w:val="single" w:color="000000" w:sz="24" w:space="0" w:shadow="0" w:frame="0"/>
            </w:tcBorders>
            <w:shd w:val="clear" w:color="auto" w:fill="auto"/>
            <w:tcMar>
              <w:top w:type="dxa" w:w="80"/>
              <w:left w:type="dxa" w:w="80"/>
              <w:bottom w:type="dxa" w:w="80"/>
              <w:right w:type="dxa" w:w="80"/>
            </w:tcMar>
            <w:vAlign w:val="top"/>
          </w:tcPr>
          <w:p>
            <w:pPr>
              <w:pStyle w:val="Table Style 2 A"/>
            </w:pPr>
            <w:r>
              <w:rPr>
                <w:rFonts w:ascii="Arial"/>
                <w:caps w:val="0"/>
                <w:smallCaps w:val="0"/>
                <w:strike w:val="0"/>
                <w:dstrike w:val="0"/>
                <w:outline w:val="0"/>
                <w:color w:val="000000"/>
                <w:spacing w:val="0"/>
                <w:kern w:val="0"/>
                <w:position w:val="0"/>
                <w:sz w:val="24"/>
                <w:szCs w:val="24"/>
                <w:u w:val="none" w:color="000000"/>
                <w:vertAlign w:val="baseline"/>
                <w:rtl w:val="0"/>
                <w:lang w:val="en-US"/>
              </w:rPr>
              <w:t>English and Ghanaian language</w:t>
            </w:r>
          </w:p>
        </w:tc>
        <w:tc>
          <w:tcPr>
            <w:tcW w:type="dxa" w:w="1105"/>
            <w:tcBorders>
              <w:top w:val="single" w:color="aaaaaa" w:sz="8" w:space="0" w:shadow="0" w:frame="0"/>
              <w:left w:val="single" w:color="000000" w:sz="24"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3</w:t>
            </w:r>
          </w:p>
        </w:tc>
        <w:tc>
          <w:tcPr>
            <w:tcW w:type="dxa" w:w="1105"/>
            <w:tcBorders>
              <w:top w:val="single" w:color="aaaaaa" w:sz="8" w:space="0" w:shadow="0" w:frame="0"/>
              <w:left w:val="single" w:color="000000" w:sz="8"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2</w:t>
            </w:r>
          </w:p>
        </w:tc>
        <w:tc>
          <w:tcPr>
            <w:tcW w:type="dxa" w:w="1105"/>
            <w:tcBorders>
              <w:top w:val="single" w:color="aaaaaa" w:sz="8" w:space="0" w:shadow="0" w:frame="0"/>
              <w:left w:val="single" w:color="000000" w:sz="8"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105"/>
            <w:tcBorders>
              <w:top w:val="single" w:color="aaaaaa" w:sz="8" w:space="0" w:shadow="0" w:frame="0"/>
              <w:left w:val="single" w:color="000000" w:sz="8" w:space="0" w:shadow="0" w:frame="0"/>
              <w:bottom w:val="single" w:color="aaaaaa" w:sz="8"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0</w:t>
            </w:r>
          </w:p>
        </w:tc>
        <w:tc>
          <w:tcPr>
            <w:tcW w:type="dxa" w:w="1105"/>
            <w:tcBorders>
              <w:top w:val="single" w:color="aaaaaa" w:sz="8" w:space="0" w:shadow="0" w:frame="0"/>
              <w:left w:val="single" w:color="000000" w:sz="8" w:space="0" w:shadow="0" w:frame="0"/>
              <w:bottom w:val="single" w:color="aaaaaa" w:sz="8" w:space="0" w:shadow="0" w:frame="0"/>
              <w:right w:val="single" w:color="000000" w:sz="24"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5</w:t>
            </w:r>
          </w:p>
        </w:tc>
      </w:tr>
      <w:tr>
        <w:tblPrEx>
          <w:shd w:val="clear" w:color="auto" w:fill="auto"/>
        </w:tblPrEx>
        <w:trPr>
          <w:trHeight w:val="392" w:hRule="atLeast"/>
        </w:trPr>
        <w:tc>
          <w:tcPr>
            <w:tcW w:type="dxa" w:w="2211"/>
            <w:gridSpan w:val="2"/>
            <w:tcBorders>
              <w:top w:val="single" w:color="aaaaaa" w:sz="8" w:space="0" w:shadow="0" w:frame="0"/>
              <w:left w:val="single" w:color="000000" w:sz="24" w:space="0" w:shadow="0" w:frame="0"/>
              <w:bottom w:val="single" w:color="000000" w:sz="24" w:space="0" w:shadow="0" w:frame="0"/>
              <w:right w:val="single" w:color="000000" w:sz="24" w:space="0" w:shadow="0" w:frame="0"/>
            </w:tcBorders>
            <w:shd w:val="clear" w:color="auto" w:fill="auto"/>
            <w:tcMar>
              <w:top w:type="dxa" w:w="80"/>
              <w:left w:type="dxa" w:w="80"/>
              <w:bottom w:type="dxa" w:w="80"/>
              <w:right w:type="dxa" w:w="80"/>
            </w:tcMar>
            <w:vAlign w:val="top"/>
          </w:tcPr>
          <w:p>
            <w:pPr>
              <w:pStyle w:val="Table Style 2 A"/>
            </w:pPr>
            <w:r>
              <w:rPr>
                <w:rFonts w:ascii="Arial"/>
                <w:caps w:val="0"/>
                <w:smallCaps w:val="0"/>
                <w:strike w:val="0"/>
                <w:dstrike w:val="0"/>
                <w:outline w:val="0"/>
                <w:color w:val="000000"/>
                <w:spacing w:val="0"/>
                <w:kern w:val="0"/>
                <w:position w:val="0"/>
                <w:sz w:val="24"/>
                <w:szCs w:val="24"/>
                <w:u w:val="none" w:color="000000"/>
                <w:vertAlign w:val="baseline"/>
                <w:rtl w:val="0"/>
                <w:lang w:val="en-US"/>
              </w:rPr>
              <w:t>Total</w:t>
            </w:r>
          </w:p>
        </w:tc>
        <w:tc>
          <w:tcPr>
            <w:tcW w:type="dxa" w:w="1105"/>
            <w:tcBorders>
              <w:top w:val="single" w:color="aaaaaa" w:sz="8" w:space="0" w:shadow="0" w:frame="0"/>
              <w:left w:val="single" w:color="000000" w:sz="24" w:space="0" w:shadow="0" w:frame="0"/>
              <w:bottom w:val="single" w:color="000000" w:sz="24"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67</w:t>
            </w:r>
          </w:p>
        </w:tc>
        <w:tc>
          <w:tcPr>
            <w:tcW w:type="dxa" w:w="1105"/>
            <w:tcBorders>
              <w:top w:val="single" w:color="aaaaaa" w:sz="8" w:space="0" w:shadow="0" w:frame="0"/>
              <w:left w:val="single" w:color="000000" w:sz="8" w:space="0" w:shadow="0" w:frame="0"/>
              <w:bottom w:val="single" w:color="000000" w:sz="24"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46</w:t>
            </w:r>
          </w:p>
        </w:tc>
        <w:tc>
          <w:tcPr>
            <w:tcW w:type="dxa" w:w="1105"/>
            <w:tcBorders>
              <w:top w:val="single" w:color="aaaaaa" w:sz="8" w:space="0" w:shadow="0" w:frame="0"/>
              <w:left w:val="single" w:color="000000" w:sz="8" w:space="0" w:shadow="0" w:frame="0"/>
              <w:bottom w:val="single" w:color="000000" w:sz="24"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2</w:t>
            </w:r>
          </w:p>
        </w:tc>
        <w:tc>
          <w:tcPr>
            <w:tcW w:type="dxa" w:w="1105"/>
            <w:tcBorders>
              <w:top w:val="single" w:color="aaaaaa" w:sz="8" w:space="0" w:shadow="0" w:frame="0"/>
              <w:left w:val="single" w:color="000000" w:sz="8" w:space="0" w:shadow="0" w:frame="0"/>
              <w:bottom w:val="single" w:color="000000" w:sz="24" w:space="0" w:shadow="0" w:frame="0"/>
              <w:right w:val="single" w:color="000000" w:sz="8"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7</w:t>
            </w:r>
          </w:p>
        </w:tc>
        <w:tc>
          <w:tcPr>
            <w:tcW w:type="dxa" w:w="1105"/>
            <w:tcBorders>
              <w:top w:val="single" w:color="aaaaaa" w:sz="8" w:space="0" w:shadow="0" w:frame="0"/>
              <w:left w:val="single" w:color="000000" w:sz="8" w:space="0" w:shadow="0" w:frame="0"/>
              <w:bottom w:val="single" w:color="000000" w:sz="24" w:space="0" w:shadow="0" w:frame="0"/>
              <w:right w:val="single" w:color="000000" w:sz="24" w:space="0" w:shadow="0" w:frame="0"/>
            </w:tcBorders>
            <w:shd w:val="clear" w:color="auto" w:fill="auto"/>
            <w:tcMar>
              <w:top w:type="dxa" w:w="80"/>
              <w:left w:type="dxa" w:w="80"/>
              <w:bottom w:type="dxa" w:w="80"/>
              <w:right w:type="dxa" w:w="80"/>
            </w:tcMar>
            <w:vAlign w:val="top"/>
          </w:tcPr>
          <w:p>
            <w:pPr>
              <w:pStyle w:val="Table Style 2 A"/>
              <w:jc w:val="right"/>
            </w:pPr>
            <w:r>
              <w:rPr>
                <w:rFonts w:ascii="Arial"/>
                <w:caps w:val="0"/>
                <w:smallCaps w:val="0"/>
                <w:strike w:val="0"/>
                <w:dstrike w:val="0"/>
                <w:outline w:val="0"/>
                <w:color w:val="000000"/>
                <w:spacing w:val="0"/>
                <w:kern w:val="0"/>
                <w:position w:val="0"/>
                <w:sz w:val="24"/>
                <w:szCs w:val="24"/>
                <w:u w:val="none" w:color="000000"/>
                <w:vertAlign w:val="baseline"/>
                <w:rtl w:val="0"/>
                <w:lang w:val="en-US"/>
              </w:rPr>
              <w:t>122</w:t>
            </w:r>
          </w:p>
        </w:tc>
      </w:tr>
    </w:tbl>
    <w:p>
      <w:pPr>
        <w:pStyle w:val="Body A"/>
        <w:jc w:val="both"/>
        <w:rPr>
          <w:sz w:val="24"/>
          <w:szCs w:val="24"/>
          <w:rtl w:val="0"/>
        </w:rPr>
      </w:pPr>
    </w:p>
    <w:p>
      <w:pPr>
        <w:pStyle w:val="Body A"/>
        <w:jc w:val="both"/>
        <w:rPr>
          <w:rFonts w:ascii="Times New Roman Bold" w:cs="Times New Roman Bold" w:hAnsi="Times New Roman Bold" w:eastAsia="Times New Roman Bold"/>
          <w:sz w:val="24"/>
          <w:szCs w:val="24"/>
          <w:rtl w:val="0"/>
          <w:lang w:val="en-US"/>
        </w:rPr>
      </w:pPr>
      <w:r>
        <w:rPr>
          <w:rFonts w:ascii="Times New Roman Bold"/>
          <w:sz w:val="24"/>
          <w:szCs w:val="24"/>
          <w:rtl w:val="0"/>
          <w:lang w:val="en-US"/>
        </w:rPr>
        <w:t>Table 2: A cross tabulation of languages spoken at health facility with type of health facility</w:t>
      </w:r>
    </w:p>
    <w:p>
      <w:pPr>
        <w:pStyle w:val="Body A"/>
        <w:jc w:val="both"/>
        <w:rPr>
          <w:rFonts w:ascii="Times New Roman Bold" w:cs="Times New Roman Bold" w:hAnsi="Times New Roman Bold" w:eastAsia="Times New Roman Bold"/>
          <w:sz w:val="24"/>
          <w:szCs w:val="24"/>
          <w:rtl w:val="0"/>
          <w:lang w:val="en-US"/>
        </w:rPr>
      </w:pPr>
    </w:p>
    <w:p>
      <w:pPr>
        <w:pStyle w:val="Body A"/>
        <w:jc w:val="both"/>
        <w:rPr>
          <w:sz w:val="24"/>
          <w:szCs w:val="24"/>
          <w:rtl w:val="0"/>
        </w:rPr>
      </w:pPr>
      <w:r>
        <w:rPr>
          <w:sz w:val="24"/>
          <w:szCs w:val="24"/>
          <w:rtl w:val="0"/>
          <w:lang w:val="en-US"/>
        </w:rPr>
        <w:t>Again, we asked patient respondents to indicate their preferred language in health care delivery in order to determine whether or not the choice of language for communication in the health care delivery system (as discussed above) is imposed by the linguistic situation at their facility of choice. Figure 4 below summaries the findings:</w:t>
      </w:r>
    </w:p>
    <w:p>
      <w:pPr>
        <w:pStyle w:val="Body A"/>
        <w:jc w:val="both"/>
        <w:rPr>
          <w:sz w:val="24"/>
          <w:szCs w:val="24"/>
          <w:rtl w:val="0"/>
        </w:rPr>
      </w:pPr>
      <w:r>
        <w:rPr>
          <w:sz w:val="24"/>
          <w:szCs w:val="24"/>
          <w:rtl w:val="0"/>
        </w:rPr>
        <w:drawing>
          <wp:anchor distT="0" distB="0" distL="9525" distR="9525" simplePos="0" relativeHeight="251661312" behindDoc="0" locked="0" layoutInCell="1" allowOverlap="1">
            <wp:simplePos x="0" y="0"/>
            <wp:positionH relativeFrom="margin">
              <wp:posOffset>1238201</wp:posOffset>
            </wp:positionH>
            <wp:positionV relativeFrom="line">
              <wp:posOffset>549846</wp:posOffset>
            </wp:positionV>
            <wp:extent cx="4025985" cy="2073731"/>
            <wp:effectExtent l="0" t="0" r="0" b="0"/>
            <wp:wrapTopAndBottom distT="0" distB="0"/>
            <wp:docPr id="1073741828" name="officeArt object"/>
            <wp:cNvGraphicFramePr/>
            <a:graphic xmlns:a="http://schemas.openxmlformats.org/drawingml/2006/main">
              <a:graphicData uri="http://schemas.openxmlformats.org/drawingml/2006/chart">
                <c:chart xmlns:c="http://schemas.openxmlformats.org/drawingml/2006/chart" r:id="rId7"/>
              </a:graphicData>
            </a:graphic>
          </wp:anchor>
        </w:drawing>
      </w:r>
    </w:p>
    <w:p>
      <w:pPr>
        <w:pStyle w:val="Body A"/>
        <w:jc w:val="both"/>
        <w:rPr>
          <w:rFonts w:ascii="Times New Roman Bold" w:cs="Times New Roman Bold" w:hAnsi="Times New Roman Bold" w:eastAsia="Times New Roman Bold"/>
          <w:sz w:val="20"/>
          <w:szCs w:val="20"/>
          <w:rtl w:val="0"/>
        </w:rPr>
      </w:pPr>
      <w:r>
        <w:rPr>
          <w:sz w:val="20"/>
          <w:szCs w:val="20"/>
          <w:rtl w:val="0"/>
          <w:lang w:val="en-US"/>
        </w:rPr>
        <w:t xml:space="preserve">              </w:t>
      </w:r>
      <w:r>
        <w:rPr>
          <w:rFonts w:ascii="Times New Roman Bold"/>
          <w:sz w:val="20"/>
          <w:szCs w:val="20"/>
          <w:rtl w:val="0"/>
          <w:lang w:val="en-US"/>
        </w:rPr>
        <w:t>Fig. 4: Patients preferred language for health communication</w:t>
      </w:r>
    </w:p>
    <w:p>
      <w:pPr>
        <w:pStyle w:val="Body A"/>
        <w:jc w:val="both"/>
        <w:rPr>
          <w:rFonts w:ascii="Times New Roman Bold" w:cs="Times New Roman Bold" w:hAnsi="Times New Roman Bold" w:eastAsia="Times New Roman Bold"/>
          <w:sz w:val="24"/>
          <w:szCs w:val="24"/>
          <w:rtl w:val="0"/>
        </w:rPr>
      </w:pPr>
    </w:p>
    <w:p>
      <w:pPr>
        <w:pStyle w:val="Body A"/>
        <w:jc w:val="both"/>
        <w:rPr>
          <w:sz w:val="24"/>
          <w:szCs w:val="24"/>
          <w:rtl w:val="0"/>
        </w:rPr>
      </w:pPr>
      <w:r>
        <w:rPr>
          <w:sz w:val="24"/>
          <w:szCs w:val="24"/>
          <w:rtl w:val="0"/>
          <w:lang w:val="en-US"/>
        </w:rPr>
        <w:t xml:space="preserve">From this figure, it is obvious that 21% of the patient respondents use English to communicate with health workers even though they would prefer to do so in a different language.  Implicit in this finding is a potential danger for miscommunication to happen in the health care delivery process. Therefore, we asked both health worker respondents and patient respondents whether language has ever been a barrier in their health communication experience.  On the one hand, among the health worker respondents, 45% </w:t>
      </w:r>
      <w:r>
        <w:rPr>
          <w:sz w:val="24"/>
          <w:szCs w:val="24"/>
          <w:rtl w:val="0"/>
          <w:lang w:val="en-US"/>
        </w:rPr>
        <w:t>responded</w:t>
      </w:r>
      <w:r>
        <w:rPr>
          <w:sz w:val="24"/>
          <w:szCs w:val="24"/>
          <w:rtl w:val="0"/>
          <w:lang w:val="en-US"/>
        </w:rPr>
        <w:t xml:space="preserve"> yes</w:t>
      </w:r>
      <w:r>
        <w:rPr>
          <w:sz w:val="24"/>
          <w:szCs w:val="24"/>
          <w:rtl w:val="0"/>
          <w:lang w:val="en-US"/>
        </w:rPr>
        <w:t>,</w:t>
      </w:r>
      <w:r>
        <w:rPr>
          <w:sz w:val="24"/>
          <w:szCs w:val="24"/>
          <w:rtl w:val="0"/>
          <w:lang w:val="en-US"/>
        </w:rPr>
        <w:t xml:space="preserve"> (40% </w:t>
      </w:r>
      <w:r>
        <w:rPr>
          <w:sz w:val="24"/>
          <w:szCs w:val="24"/>
          <w:rtl w:val="0"/>
          <w:lang w:val="en-US"/>
        </w:rPr>
        <w:t xml:space="preserve"> said </w:t>
      </w:r>
      <w:r>
        <w:rPr>
          <w:sz w:val="24"/>
          <w:szCs w:val="24"/>
          <w:rtl w:val="0"/>
          <w:lang w:val="en-US"/>
        </w:rPr>
        <w:t xml:space="preserve">often, and 5% </w:t>
      </w:r>
      <w:r>
        <w:rPr>
          <w:sz w:val="24"/>
          <w:szCs w:val="24"/>
          <w:rtl w:val="0"/>
          <w:lang w:val="en-US"/>
        </w:rPr>
        <w:t xml:space="preserve">said </w:t>
      </w:r>
      <w:r>
        <w:rPr>
          <w:sz w:val="24"/>
          <w:szCs w:val="24"/>
          <w:rtl w:val="0"/>
          <w:lang w:val="en-US"/>
        </w:rPr>
        <w:t>always), while 55% said this rarely happens. On the other hand, among the patient respondents, while 41% said, yes, language has been a barrier to health communication</w:t>
      </w:r>
      <w:r>
        <w:rPr>
          <w:sz w:val="24"/>
          <w:szCs w:val="24"/>
          <w:rtl w:val="0"/>
          <w:lang w:val="en-US"/>
        </w:rPr>
        <w:t xml:space="preserve"> for them</w:t>
      </w:r>
      <w:r>
        <w:rPr>
          <w:sz w:val="24"/>
          <w:szCs w:val="24"/>
          <w:rtl w:val="0"/>
          <w:lang w:val="en-US"/>
        </w:rPr>
        <w:t xml:space="preserve"> before, 37% said no, this has never happened, and  22% were not sure whether </w:t>
      </w:r>
      <w:r>
        <w:rPr>
          <w:sz w:val="24"/>
          <w:szCs w:val="24"/>
          <w:rtl w:val="0"/>
          <w:lang w:val="en-US"/>
        </w:rPr>
        <w:t xml:space="preserve"> or not </w:t>
      </w:r>
      <w:r>
        <w:rPr>
          <w:sz w:val="24"/>
          <w:szCs w:val="24"/>
          <w:rtl w:val="0"/>
          <w:lang w:val="en-US"/>
        </w:rPr>
        <w:t>language has</w:t>
      </w:r>
      <w:r>
        <w:rPr>
          <w:sz w:val="24"/>
          <w:szCs w:val="24"/>
          <w:rtl w:val="0"/>
          <w:lang w:val="en-US"/>
        </w:rPr>
        <w:t xml:space="preserve"> ever</w:t>
      </w:r>
      <w:r>
        <w:rPr>
          <w:sz w:val="24"/>
          <w:szCs w:val="24"/>
          <w:rtl w:val="0"/>
          <w:lang w:val="en-US"/>
        </w:rPr>
        <w:t xml:space="preserve"> been a barrier to health communication </w:t>
      </w:r>
      <w:r>
        <w:rPr>
          <w:sz w:val="24"/>
          <w:szCs w:val="24"/>
          <w:rtl w:val="0"/>
          <w:lang w:val="en-US"/>
        </w:rPr>
        <w:t>for them</w:t>
      </w:r>
      <w:r>
        <w:rPr>
          <w:sz w:val="24"/>
          <w:szCs w:val="24"/>
          <w:rtl w:val="0"/>
          <w:lang w:val="en-US"/>
        </w:rPr>
        <w:t xml:space="preserve">.  Thus, from both health worker responses and patient responses, it is </w:t>
      </w:r>
      <w:r>
        <w:rPr>
          <w:sz w:val="24"/>
          <w:szCs w:val="24"/>
          <w:rtl w:val="0"/>
          <w:lang w:val="en-US"/>
        </w:rPr>
        <w:t>quite clear</w:t>
      </w:r>
      <w:r>
        <w:rPr>
          <w:sz w:val="24"/>
          <w:szCs w:val="24"/>
          <w:rtl w:val="0"/>
          <w:lang w:val="en-US"/>
        </w:rPr>
        <w:t xml:space="preserve"> that language creates a barrier in health communication among a considerable percentage of the population. This has potential serious implications for both safety and the quality of health delivery in the country</w:t>
      </w:r>
      <w:r>
        <w:rPr>
          <w:sz w:val="24"/>
          <w:szCs w:val="24"/>
          <w:rtl w:val="0"/>
          <w:lang w:val="en-US"/>
        </w:rPr>
        <w:t xml:space="preserve"> as has been discussed in the literature.</w:t>
      </w:r>
    </w:p>
    <w:p>
      <w:pPr>
        <w:pStyle w:val="Body A"/>
        <w:jc w:val="both"/>
        <w:rPr>
          <w:sz w:val="24"/>
          <w:szCs w:val="24"/>
          <w:rtl w:val="0"/>
        </w:rPr>
      </w:pPr>
    </w:p>
    <w:p>
      <w:pPr>
        <w:pStyle w:val="Body A"/>
        <w:jc w:val="both"/>
        <w:rPr>
          <w:rFonts w:ascii="Times New Roman Bold" w:cs="Times New Roman Bold" w:hAnsi="Times New Roman Bold" w:eastAsia="Times New Roman Bold"/>
        </w:rPr>
      </w:pPr>
      <w:r>
        <w:rPr>
          <w:rFonts w:ascii="Times New Roman Bold"/>
          <w:sz w:val="24"/>
          <w:szCs w:val="24"/>
          <w:rtl w:val="0"/>
          <w:lang w:val="en-US"/>
        </w:rPr>
        <w:t>5. Discussion</w:t>
      </w:r>
    </w:p>
    <w:p>
      <w:pPr>
        <w:pStyle w:val="Body A"/>
        <w:jc w:val="both"/>
        <w:rPr>
          <w:sz w:val="24"/>
          <w:szCs w:val="24"/>
          <w:rtl w:val="0"/>
          <w:lang w:val="en-US"/>
        </w:rPr>
      </w:pPr>
      <w:r>
        <w:rPr>
          <w:sz w:val="24"/>
          <w:szCs w:val="24"/>
          <w:rtl w:val="0"/>
          <w:lang w:val="en-US"/>
        </w:rPr>
        <w:t xml:space="preserve">     Even though the data from patient respondents and health worker respondents appear to show different patterns, a critical look at the two patterns of respondents</w:t>
      </w:r>
      <w:r>
        <w:rPr>
          <w:rFonts w:hAnsi="Times New Roman" w:hint="default"/>
          <w:sz w:val="24"/>
          <w:szCs w:val="24"/>
          <w:rtl w:val="0"/>
          <w:lang w:val="en-US"/>
        </w:rPr>
        <w:t xml:space="preserve">’ </w:t>
      </w:r>
      <w:r>
        <w:rPr>
          <w:sz w:val="24"/>
          <w:szCs w:val="24"/>
          <w:rtl w:val="0"/>
          <w:lang w:val="en-US"/>
        </w:rPr>
        <w:t>choice of language of communication in health care delivery point to the fact that the main language</w:t>
      </w:r>
      <w:r>
        <w:rPr>
          <w:sz w:val="24"/>
          <w:szCs w:val="24"/>
          <w:rtl w:val="0"/>
          <w:lang w:val="en-US"/>
        </w:rPr>
        <w:t xml:space="preserve"> (s)</w:t>
      </w:r>
      <w:r>
        <w:rPr>
          <w:sz w:val="24"/>
          <w:szCs w:val="24"/>
          <w:rtl w:val="0"/>
          <w:lang w:val="en-US"/>
        </w:rPr>
        <w:t xml:space="preserve"> of health care delivery in urban contexts is</w:t>
      </w:r>
      <w:r>
        <w:rPr>
          <w:sz w:val="24"/>
          <w:szCs w:val="24"/>
          <w:rtl w:val="0"/>
          <w:lang w:val="en-US"/>
        </w:rPr>
        <w:t>/are</w:t>
      </w:r>
      <w:r>
        <w:rPr>
          <w:sz w:val="24"/>
          <w:szCs w:val="24"/>
          <w:rtl w:val="0"/>
          <w:lang w:val="en-US"/>
        </w:rPr>
        <w:t xml:space="preserve"> L2 (Akan or English) for majority of the people, both health workers </w:t>
      </w:r>
      <w:r>
        <w:rPr>
          <w:sz w:val="24"/>
          <w:szCs w:val="24"/>
          <w:rtl w:val="0"/>
          <w:lang w:val="en-US"/>
        </w:rPr>
        <w:t>and</w:t>
      </w:r>
      <w:r>
        <w:rPr>
          <w:sz w:val="24"/>
          <w:szCs w:val="24"/>
          <w:rtl w:val="0"/>
          <w:lang w:val="en-US"/>
        </w:rPr>
        <w:t xml:space="preserve"> patient</w:t>
      </w:r>
      <w:r>
        <w:rPr>
          <w:sz w:val="24"/>
          <w:szCs w:val="24"/>
          <w:rtl w:val="0"/>
          <w:lang w:val="pt-PT"/>
        </w:rPr>
        <w:t>s.</w:t>
      </w:r>
      <w:r>
        <w:rPr>
          <w:sz w:val="24"/>
          <w:szCs w:val="24"/>
          <w:rtl w:val="0"/>
          <w:lang w:val="en-US"/>
        </w:rPr>
        <w:t xml:space="preserve"> </w:t>
      </w:r>
    </w:p>
    <w:p>
      <w:pPr>
        <w:pStyle w:val="Body A"/>
        <w:jc w:val="both"/>
        <w:rPr>
          <w:sz w:val="24"/>
          <w:szCs w:val="24"/>
          <w:rtl w:val="0"/>
        </w:rPr>
      </w:pPr>
      <w:r>
        <w:rPr>
          <w:sz w:val="24"/>
          <w:szCs w:val="24"/>
          <w:rtl w:val="0"/>
          <w:lang w:val="en-US"/>
        </w:rPr>
        <w:t xml:space="preserve">The fact that </w:t>
      </w:r>
      <w:r>
        <w:rPr>
          <w:sz w:val="24"/>
          <w:szCs w:val="24"/>
          <w:rtl w:val="0"/>
          <w:lang w:val="en-US"/>
        </w:rPr>
        <w:t>Akan is the most widely spoken indigenous language</w:t>
      </w:r>
      <w:r>
        <w:rPr>
          <w:sz w:val="24"/>
          <w:szCs w:val="24"/>
          <w:rtl w:val="0"/>
          <w:lang w:val="en-US"/>
        </w:rPr>
        <w:t xml:space="preserve"> in Ghana both as a first language and a second language</w:t>
      </w:r>
      <w:r>
        <w:rPr>
          <w:sz w:val="24"/>
          <w:szCs w:val="24"/>
          <w:rtl w:val="0"/>
          <w:lang w:val="en-US"/>
        </w:rPr>
        <w:t xml:space="preserve"> </w:t>
      </w:r>
      <w:r>
        <w:rPr>
          <w:sz w:val="24"/>
          <w:szCs w:val="24"/>
          <w:rtl w:val="0"/>
          <w:lang w:val="en-US"/>
        </w:rPr>
        <w:t xml:space="preserve">may </w:t>
      </w:r>
      <w:r>
        <w:rPr>
          <w:rtl w:val="0"/>
          <w:lang w:val="en-US"/>
        </w:rPr>
        <w:t xml:space="preserve">explain why </w:t>
      </w:r>
      <w:r>
        <w:rPr>
          <w:rtl w:val="0"/>
          <w:lang w:val="en-US"/>
        </w:rPr>
        <w:t>it is used by both health workers and patients in health care delivery in multilingual contexts. However, it is important to note that</w:t>
      </w:r>
      <w:r>
        <w:rPr>
          <w:sz w:val="24"/>
          <w:szCs w:val="24"/>
          <w:rtl w:val="0"/>
          <w:lang w:val="en-US"/>
        </w:rPr>
        <w:t xml:space="preserve"> the level of fluency</w:t>
      </w:r>
      <w:r>
        <w:rPr>
          <w:sz w:val="24"/>
          <w:szCs w:val="24"/>
          <w:rtl w:val="0"/>
          <w:lang w:val="en-US"/>
        </w:rPr>
        <w:t xml:space="preserve"> and competence in the language, especially among second language speakers, varies </w:t>
      </w:r>
      <w:r>
        <w:rPr>
          <w:sz w:val="24"/>
          <w:szCs w:val="24"/>
          <w:rtl w:val="0"/>
          <w:lang w:val="en-US"/>
        </w:rPr>
        <w:t xml:space="preserve">from one speaker to </w:t>
      </w:r>
      <w:r>
        <w:rPr>
          <w:sz w:val="24"/>
          <w:szCs w:val="24"/>
          <w:rtl w:val="0"/>
          <w:lang w:val="en-US"/>
        </w:rPr>
        <w:t>an</w:t>
      </w:r>
      <w:r>
        <w:rPr>
          <w:sz w:val="24"/>
          <w:szCs w:val="24"/>
          <w:rtl w:val="0"/>
          <w:lang w:val="en-US"/>
        </w:rPr>
        <w:t>other.</w:t>
      </w:r>
      <w:r>
        <w:rPr>
          <w:sz w:val="24"/>
          <w:szCs w:val="24"/>
          <w:rtl w:val="0"/>
          <w:lang w:val="en-US"/>
        </w:rPr>
        <w:t xml:space="preserve"> This means that f</w:t>
      </w:r>
      <w:r>
        <w:rPr>
          <w:sz w:val="24"/>
          <w:szCs w:val="24"/>
          <w:rtl w:val="0"/>
          <w:lang w:val="en-US"/>
        </w:rPr>
        <w:t>or the patients</w:t>
      </w:r>
      <w:r>
        <w:rPr>
          <w:sz w:val="24"/>
          <w:szCs w:val="24"/>
          <w:rtl w:val="0"/>
          <w:lang w:val="en-US"/>
        </w:rPr>
        <w:t xml:space="preserve"> and health workers</w:t>
      </w:r>
      <w:r>
        <w:rPr>
          <w:sz w:val="24"/>
          <w:szCs w:val="24"/>
          <w:rtl w:val="0"/>
          <w:lang w:val="en-US"/>
        </w:rPr>
        <w:t xml:space="preserve"> whose first language is not Akan, the use of Akan</w:t>
      </w:r>
      <w:r>
        <w:rPr>
          <w:sz w:val="24"/>
          <w:szCs w:val="24"/>
          <w:rtl w:val="0"/>
          <w:lang w:val="en-US"/>
        </w:rPr>
        <w:t xml:space="preserve"> (a second, and perhaps, weaker language)</w:t>
      </w:r>
      <w:r>
        <w:rPr>
          <w:sz w:val="24"/>
          <w:szCs w:val="24"/>
          <w:rtl w:val="0"/>
          <w:lang w:val="en-US"/>
        </w:rPr>
        <w:t xml:space="preserve"> in health care delivery </w:t>
      </w:r>
      <w:r>
        <w:rPr>
          <w:sz w:val="24"/>
          <w:szCs w:val="24"/>
          <w:rtl w:val="0"/>
          <w:lang w:val="en-US"/>
        </w:rPr>
        <w:t xml:space="preserve">potentially </w:t>
      </w:r>
      <w:r>
        <w:rPr>
          <w:sz w:val="24"/>
          <w:szCs w:val="24"/>
          <w:rtl w:val="0"/>
          <w:lang w:val="en-US"/>
        </w:rPr>
        <w:t>puts them at a disadvantage</w:t>
      </w:r>
      <w:r>
        <w:rPr>
          <w:sz w:val="24"/>
          <w:szCs w:val="24"/>
          <w:rtl w:val="0"/>
          <w:lang w:val="en-US"/>
        </w:rPr>
        <w:t>.</w:t>
      </w:r>
    </w:p>
    <w:p>
      <w:pPr>
        <w:pStyle w:val="Body A"/>
        <w:jc w:val="both"/>
        <w:rPr>
          <w:sz w:val="24"/>
          <w:szCs w:val="24"/>
          <w:rtl w:val="0"/>
        </w:rPr>
      </w:pPr>
      <w:r>
        <w:rPr>
          <w:sz w:val="24"/>
          <w:szCs w:val="24"/>
          <w:rtl w:val="0"/>
          <w:lang w:val="en-US"/>
        </w:rPr>
        <w:t xml:space="preserve">     As has been mentioned earlier, English is the de facto official language in Ghana. It is the language of education and is mainly acquired in school. </w:t>
      </w:r>
      <w:r>
        <w:rPr>
          <w:sz w:val="24"/>
          <w:szCs w:val="24"/>
          <w:rtl w:val="0"/>
          <w:lang w:val="en-US"/>
        </w:rPr>
        <w:t>Nevertheless, many people in</w:t>
      </w:r>
      <w:r>
        <w:rPr>
          <w:sz w:val="24"/>
          <w:szCs w:val="24"/>
          <w:rtl w:val="0"/>
          <w:lang w:val="en-US"/>
        </w:rPr>
        <w:t xml:space="preserve"> Ghana</w:t>
      </w:r>
      <w:r>
        <w:rPr>
          <w:sz w:val="24"/>
          <w:szCs w:val="24"/>
          <w:rtl w:val="0"/>
          <w:lang w:val="en-US"/>
        </w:rPr>
        <w:t xml:space="preserve"> do not</w:t>
      </w:r>
      <w:r>
        <w:rPr>
          <w:sz w:val="24"/>
          <w:szCs w:val="24"/>
          <w:rtl w:val="0"/>
          <w:lang w:val="en-US"/>
        </w:rPr>
        <w:t xml:space="preserve"> speak English. In fact, 42.1% of the adult population beyond the age of 15 is totally illiterate, while only 12.8% of the youth have acquired education beyond the Junior Secondary School level. </w:t>
      </w:r>
      <w:r>
        <w:rPr>
          <w:sz w:val="24"/>
          <w:szCs w:val="24"/>
          <w:rtl w:val="0"/>
          <w:lang w:val="en-US"/>
        </w:rPr>
        <w:t>Since English learning is largely achieved through formal education in the country, for</w:t>
      </w:r>
      <w:r>
        <w:rPr>
          <w:sz w:val="24"/>
          <w:szCs w:val="24"/>
          <w:rtl w:val="0"/>
          <w:lang w:val="en-US"/>
        </w:rPr>
        <w:t xml:space="preserve"> both the totally illiterate and those who have only had </w:t>
      </w:r>
      <w:r>
        <w:rPr>
          <w:sz w:val="24"/>
          <w:szCs w:val="24"/>
          <w:rtl w:val="0"/>
          <w:lang w:val="en-US"/>
        </w:rPr>
        <w:t>only a amount of formal education may have</w:t>
      </w:r>
      <w:r>
        <w:rPr>
          <w:sz w:val="24"/>
          <w:szCs w:val="24"/>
          <w:rtl w:val="0"/>
          <w:lang w:val="en-US"/>
        </w:rPr>
        <w:t xml:space="preserve"> limited understanding of English</w:t>
      </w:r>
      <w:r>
        <w:rPr>
          <w:sz w:val="24"/>
          <w:szCs w:val="24"/>
          <w:rtl w:val="0"/>
          <w:lang w:val="en-US"/>
        </w:rPr>
        <w:t xml:space="preserve">. Indeed, for those with full formal education, English competency varies from person -to-person and is often mediated by such sociolinguistic factors as the school attended, the context of learning and frequency of English use. </w:t>
      </w:r>
      <w:r>
        <w:rPr>
          <w:rtl w:val="0"/>
          <w:lang w:val="en-US"/>
        </w:rPr>
        <w:t>It will be recalled that majority of the patients</w:t>
      </w:r>
      <w:r>
        <w:rPr>
          <w:rtl w:val="0"/>
          <w:lang w:val="en-US"/>
        </w:rPr>
        <w:t xml:space="preserve"> we discuss</w:t>
      </w:r>
      <w:r>
        <w:rPr>
          <w:rtl w:val="0"/>
          <w:lang w:val="en-US"/>
        </w:rPr>
        <w:t xml:space="preserve"> did indicate that they prefer </w:t>
      </w:r>
      <w:r>
        <w:rPr>
          <w:rtl w:val="0"/>
          <w:lang w:val="en-US"/>
        </w:rPr>
        <w:t>the</w:t>
      </w:r>
      <w:r>
        <w:rPr>
          <w:rtl w:val="0"/>
          <w:lang w:val="en-US"/>
        </w:rPr>
        <w:t xml:space="preserve"> use</w:t>
      </w:r>
      <w:r>
        <w:rPr>
          <w:rtl w:val="0"/>
          <w:lang w:val="en-US"/>
        </w:rPr>
        <w:t xml:space="preserve"> of English</w:t>
      </w:r>
      <w:r>
        <w:rPr>
          <w:rtl w:val="0"/>
          <w:lang w:val="en-US"/>
        </w:rPr>
        <w:t xml:space="preserve"> in health care delivery. Perhaps, this is because the majority of respondents </w:t>
      </w:r>
      <w:r>
        <w:rPr>
          <w:rtl w:val="0"/>
          <w:lang w:val="en-US"/>
        </w:rPr>
        <w:t xml:space="preserve">were </w:t>
      </w:r>
      <w:r>
        <w:rPr>
          <w:rtl w:val="0"/>
          <w:lang w:val="en-US"/>
        </w:rPr>
        <w:t>literate and fe</w:t>
      </w:r>
      <w:r>
        <w:rPr>
          <w:rtl w:val="0"/>
          <w:lang w:val="en-US"/>
        </w:rPr>
        <w:t>lt</w:t>
      </w:r>
      <w:r>
        <w:rPr>
          <w:rtl w:val="0"/>
          <w:lang w:val="en-US"/>
        </w:rPr>
        <w:t xml:space="preserve"> confiden</w:t>
      </w:r>
      <w:r>
        <w:rPr>
          <w:rtl w:val="0"/>
          <w:lang w:val="en-US"/>
        </w:rPr>
        <w:t>t</w:t>
      </w:r>
      <w:r>
        <w:rPr>
          <w:rtl w:val="0"/>
          <w:lang w:val="en-US"/>
        </w:rPr>
        <w:t xml:space="preserve"> in their use and comprehension of the English language. Speaking, or being associated with English </w:t>
      </w:r>
      <w:r>
        <w:rPr>
          <w:rtl w:val="0"/>
          <w:lang w:val="en-US"/>
        </w:rPr>
        <w:t xml:space="preserve"> in Ghana </w:t>
      </w:r>
      <w:r>
        <w:rPr>
          <w:rtl w:val="0"/>
          <w:lang w:val="en-US"/>
        </w:rPr>
        <w:t xml:space="preserve">provides a level of prestige and positivity to the speaker so much so that even those who </w:t>
      </w:r>
      <w:r>
        <w:rPr>
          <w:rtl w:val="0"/>
          <w:lang w:val="en-US"/>
        </w:rPr>
        <w:t xml:space="preserve">have </w:t>
      </w:r>
      <w:r>
        <w:rPr>
          <w:rtl w:val="0"/>
          <w:lang w:val="en-US"/>
        </w:rPr>
        <w:t>very little</w:t>
      </w:r>
      <w:r>
        <w:rPr>
          <w:rtl w:val="0"/>
          <w:lang w:val="en-US"/>
        </w:rPr>
        <w:t xml:space="preserve"> competence in</w:t>
      </w:r>
      <w:r>
        <w:rPr>
          <w:rtl w:val="0"/>
          <w:lang w:val="en-US"/>
        </w:rPr>
        <w:t xml:space="preserve"> English will say they are fluent when asked</w:t>
      </w:r>
      <w:r>
        <w:rPr>
          <w:rtl w:val="0"/>
          <w:lang w:val="en-US"/>
        </w:rPr>
        <w:t xml:space="preserve">, a potentially dangerous (for health) practice. </w:t>
      </w:r>
      <w:r>
        <w:rPr>
          <w:sz w:val="24"/>
          <w:szCs w:val="24"/>
          <w:rtl w:val="0"/>
          <w:lang w:val="en-US"/>
        </w:rPr>
        <w:t xml:space="preserve">Thus, </w:t>
      </w:r>
      <w:r>
        <w:rPr>
          <w:sz w:val="24"/>
          <w:szCs w:val="24"/>
          <w:rtl w:val="0"/>
          <w:lang w:val="en-US"/>
        </w:rPr>
        <w:t>the use of English</w:t>
      </w:r>
      <w:r>
        <w:rPr>
          <w:sz w:val="24"/>
          <w:szCs w:val="24"/>
          <w:rtl w:val="0"/>
          <w:lang w:val="en-US"/>
        </w:rPr>
        <w:t xml:space="preserve"> in health care delivery in Ghana also has</w:t>
      </w:r>
      <w:r>
        <w:rPr>
          <w:sz w:val="24"/>
          <w:szCs w:val="24"/>
          <w:rtl w:val="0"/>
          <w:lang w:val="en-US"/>
        </w:rPr>
        <w:t xml:space="preserve"> the potential </w:t>
      </w:r>
      <w:r>
        <w:rPr>
          <w:sz w:val="24"/>
          <w:szCs w:val="24"/>
          <w:rtl w:val="0"/>
          <w:lang w:val="en-US"/>
        </w:rPr>
        <w:t>to create</w:t>
      </w:r>
      <w:r>
        <w:rPr>
          <w:sz w:val="24"/>
          <w:szCs w:val="24"/>
          <w:rtl w:val="0"/>
          <w:lang w:val="en-US"/>
        </w:rPr>
        <w:t xml:space="preserve"> miscommunication </w:t>
      </w:r>
      <w:r>
        <w:rPr>
          <w:sz w:val="24"/>
          <w:szCs w:val="24"/>
          <w:rtl w:val="0"/>
          <w:lang w:val="en-US"/>
        </w:rPr>
        <w:t>health worker-patient interactions.</w:t>
      </w:r>
    </w:p>
    <w:p>
      <w:pPr>
        <w:pStyle w:val="Body A"/>
        <w:jc w:val="both"/>
        <w:rPr>
          <w:sz w:val="24"/>
          <w:szCs w:val="24"/>
          <w:rtl w:val="0"/>
          <w:lang w:val="en-US"/>
        </w:rPr>
      </w:pPr>
      <w:r>
        <w:rPr>
          <w:sz w:val="24"/>
          <w:szCs w:val="24"/>
          <w:rtl w:val="0"/>
          <w:lang w:val="en-US"/>
        </w:rPr>
        <w:t xml:space="preserve">    </w:t>
      </w:r>
      <w:r>
        <w:rPr>
          <w:rtl w:val="0"/>
          <w:lang w:val="en-US"/>
        </w:rPr>
        <w:t>H</w:t>
      </w:r>
      <w:r>
        <w:rPr>
          <w:sz w:val="24"/>
          <w:szCs w:val="24"/>
          <w:rtl w:val="0"/>
          <w:lang w:val="en-US"/>
        </w:rPr>
        <w:t xml:space="preserve">owever one looks at it, whether the language used in healthcare </w:t>
      </w:r>
      <w:r>
        <w:rPr>
          <w:sz w:val="24"/>
          <w:szCs w:val="24"/>
          <w:rtl w:val="0"/>
          <w:lang w:val="en-US"/>
        </w:rPr>
        <w:t xml:space="preserve">delivery </w:t>
      </w:r>
      <w:r>
        <w:rPr>
          <w:sz w:val="24"/>
          <w:szCs w:val="24"/>
          <w:rtl w:val="0"/>
          <w:lang w:val="en-US"/>
        </w:rPr>
        <w:t>is Akan or English, for most people, it is not their L1 that is being used. As has been empirically proven</w:t>
      </w:r>
      <w:r>
        <w:rPr>
          <w:sz w:val="24"/>
          <w:szCs w:val="24"/>
          <w:rtl w:val="0"/>
          <w:lang w:val="en-US"/>
        </w:rPr>
        <w:t xml:space="preserve"> in the literature</w:t>
      </w:r>
      <w:r>
        <w:rPr>
          <w:sz w:val="24"/>
          <w:szCs w:val="24"/>
          <w:rtl w:val="0"/>
          <w:lang w:val="en-US"/>
        </w:rPr>
        <w:t xml:space="preserve">, the use of other languages aside from the L1 of the patient and the health worker can lead to and often leads to miscommunication which is a very serious thing since it can have significant impact on the success of the health care encounter (Jacobs et al. 2006). </w:t>
      </w:r>
      <w:r>
        <w:rPr>
          <w:sz w:val="24"/>
          <w:szCs w:val="24"/>
          <w:rtl w:val="0"/>
          <w:lang w:val="fr-FR"/>
        </w:rPr>
        <w:t xml:space="preserve"> Language barriers can easily lead to the possibility of a doctor having less understanding of the full nature of patient</w:t>
      </w:r>
      <w:r>
        <w:rPr>
          <w:rFonts w:hAnsi="Times New Roman" w:hint="default"/>
          <w:sz w:val="24"/>
          <w:szCs w:val="24"/>
          <w:rtl w:val="0"/>
          <w:lang w:val="en-US"/>
        </w:rPr>
        <w:t>’</w:t>
      </w:r>
      <w:r>
        <w:rPr>
          <w:sz w:val="24"/>
          <w:szCs w:val="24"/>
          <w:rtl w:val="0"/>
          <w:lang w:val="en-US"/>
        </w:rPr>
        <w:t>s problems (Sarver &amp; Baker 2000) and this can lead to patients not receiving the best of care (Jacobs et al. 2006); being admitted  for longer periods of time in hospital (Lee et al. 1998; John-Baptiste et.al, 2004); and  being made to undergo additional medical tests and unnecessary diagnostic testing (Morales et al. 1999). Patients too have been found to end up taking medications wrongly when there is miscommunication (Samuels-Kalow et al., 2013). This can result in dire effects.</w:t>
      </w:r>
      <w:r>
        <w:rPr>
          <w:rtl w:val="0"/>
          <w:lang w:val="en-US"/>
        </w:rPr>
        <w:t xml:space="preserve"> </w:t>
      </w:r>
      <w:r>
        <w:rPr>
          <w:sz w:val="24"/>
          <w:szCs w:val="24"/>
          <w:rtl w:val="0"/>
          <w:lang w:val="en-US"/>
        </w:rPr>
        <w:t xml:space="preserve">Finally, the fact that most patients and </w:t>
      </w:r>
      <w:r>
        <w:rPr>
          <w:sz w:val="24"/>
          <w:szCs w:val="24"/>
          <w:rtl w:val="0"/>
          <w:lang w:val="en-US"/>
        </w:rPr>
        <w:t>health workers</w:t>
      </w:r>
      <w:r>
        <w:rPr>
          <w:sz w:val="24"/>
          <w:szCs w:val="24"/>
          <w:rtl w:val="0"/>
          <w:lang w:val="en-US"/>
        </w:rPr>
        <w:t xml:space="preserve"> are not even sure that health care centres actually offer translation services for clients who need </w:t>
      </w:r>
      <w:r>
        <w:rPr>
          <w:sz w:val="24"/>
          <w:szCs w:val="24"/>
          <w:rtl w:val="0"/>
          <w:lang w:val="en-US"/>
        </w:rPr>
        <w:t>them</w:t>
      </w:r>
      <w:r>
        <w:rPr>
          <w:sz w:val="24"/>
          <w:szCs w:val="24"/>
          <w:rtl w:val="0"/>
          <w:lang w:val="en-US"/>
        </w:rPr>
        <w:t xml:space="preserve"> is alarming</w:t>
      </w:r>
      <w:r>
        <w:rPr>
          <w:sz w:val="24"/>
          <w:szCs w:val="24"/>
          <w:rtl w:val="0"/>
          <w:lang w:val="en-US"/>
        </w:rPr>
        <w:t xml:space="preserve"> and needs urgent redressing.</w:t>
      </w:r>
    </w:p>
    <w:p>
      <w:pPr>
        <w:pStyle w:val="Body A"/>
        <w:jc w:val="both"/>
        <w:rPr>
          <w:sz w:val="24"/>
          <w:szCs w:val="24"/>
          <w:rtl w:val="0"/>
        </w:rPr>
      </w:pPr>
    </w:p>
    <w:p>
      <w:pPr>
        <w:pStyle w:val="Body A"/>
        <w:jc w:val="both"/>
        <w:rPr>
          <w:rFonts w:ascii="Times New Roman Bold" w:cs="Times New Roman Bold" w:hAnsi="Times New Roman Bold" w:eastAsia="Times New Roman Bold"/>
          <w:lang w:val="it-IT"/>
        </w:rPr>
      </w:pPr>
      <w:r>
        <w:rPr>
          <w:rFonts w:ascii="Times New Roman Bold"/>
          <w:sz w:val="24"/>
          <w:szCs w:val="24"/>
          <w:rtl w:val="0"/>
          <w:lang w:val="en-US"/>
        </w:rPr>
        <w:t xml:space="preserve">6. </w:t>
      </w:r>
      <w:r>
        <w:rPr>
          <w:rFonts w:ascii="Times New Roman Bold"/>
          <w:sz w:val="24"/>
          <w:szCs w:val="24"/>
          <w:rtl w:val="0"/>
          <w:lang w:val="it-IT"/>
        </w:rPr>
        <w:t>Conclusion</w:t>
      </w:r>
    </w:p>
    <w:p>
      <w:pPr>
        <w:pStyle w:val="Body A"/>
        <w:jc w:val="both"/>
        <w:rPr>
          <w:u w:color="404042"/>
        </w:rPr>
      </w:pPr>
      <w:r>
        <w:rPr>
          <w:sz w:val="24"/>
          <w:szCs w:val="24"/>
          <w:rtl w:val="0"/>
          <w:lang w:val="it-IT"/>
        </w:rPr>
        <w:t xml:space="preserve">     The language situation in Ghana is such that for most patients and health care practitioners who live in urban  areas, the language used in healthcare delivery is Akan and English. For most of these people, this means they are compelled to use a second language. Research has shown that the use of a second language in healthcare delivery leads to miscommunications that affects the success of recovery for the patient and makes the work of  health workers more difficult. In other jurisdictions, e.g. in the United States, individual s</w:t>
      </w:r>
      <w:r>
        <w:rPr>
          <w:sz w:val="24"/>
          <w:szCs w:val="24"/>
          <w:u w:color="404042"/>
          <w:rtl w:val="0"/>
          <w:lang w:val="en-US"/>
        </w:rPr>
        <w:t>tates have begun to emphasize educating health professionals about language access. There is a deliberate attempt to offer training that focus on raising the awareness of how cultural and language barriers can affect the quality of care, with the goal of increasing clinicians</w:t>
      </w:r>
      <w:r>
        <w:rPr>
          <w:rFonts w:hAnsi="Times New Roman" w:hint="default"/>
          <w:sz w:val="24"/>
          <w:szCs w:val="24"/>
          <w:u w:color="404042"/>
          <w:rtl w:val="0"/>
          <w:lang w:val="en-US"/>
        </w:rPr>
        <w:t xml:space="preserve">’ </w:t>
      </w:r>
      <w:r>
        <w:rPr>
          <w:sz w:val="24"/>
          <w:szCs w:val="24"/>
          <w:u w:color="404042"/>
          <w:rtl w:val="0"/>
          <w:lang w:val="en-US"/>
        </w:rPr>
        <w:t>support for and use of language services. For instance, between 2004 and 2006, New Jersey, California, and Washington have enacted requirements for each medical school to educate students on cultural competency of which language access is a core component. Cultural competency education is required for physician relicensure. These states have also put in place clinically oriented continuing medical education (CME) programs, whose curricula include cultural and linguistic competency, for physicians and surgeons. Still in the US, a number of states mandate language services as a condition of facility licensure. Health facilities are required to post notices of interpreter availability in English and, minimally, the three most frequently encountered languages in the facility.</w:t>
      </w:r>
      <w:r>
        <w:rPr>
          <w:rFonts w:hAnsi="Times New Roman" w:hint="default"/>
          <w:sz w:val="24"/>
          <w:szCs w:val="24"/>
          <w:u w:color="404042"/>
          <w:rtl w:val="0"/>
          <w:lang w:val="en-US"/>
        </w:rPr>
        <w:t> </w:t>
      </w:r>
      <w:r>
        <w:rPr>
          <w:sz w:val="24"/>
          <w:szCs w:val="24"/>
          <w:u w:color="404042"/>
          <w:rtl w:val="0"/>
          <w:lang w:val="en-US"/>
        </w:rPr>
        <w:t xml:space="preserve"> </w:t>
      </w:r>
    </w:p>
    <w:p>
      <w:pPr>
        <w:pStyle w:val="Body A"/>
        <w:jc w:val="both"/>
        <w:rPr>
          <w:sz w:val="24"/>
          <w:szCs w:val="24"/>
          <w:rtl w:val="0"/>
          <w:lang w:val="it-IT"/>
        </w:rPr>
      </w:pPr>
      <w:r>
        <w:rPr>
          <w:sz w:val="24"/>
          <w:szCs w:val="24"/>
          <w:rtl w:val="0"/>
          <w:lang w:val="it-IT"/>
        </w:rPr>
        <w:t xml:space="preserve">     Unfortunately, issues pertaining to language ha</w:t>
      </w:r>
      <w:r>
        <w:rPr>
          <w:sz w:val="24"/>
          <w:szCs w:val="24"/>
          <w:rtl w:val="0"/>
          <w:lang w:val="it-IT"/>
        </w:rPr>
        <w:t>ve</w:t>
      </w:r>
      <w:r>
        <w:rPr>
          <w:sz w:val="24"/>
          <w:szCs w:val="24"/>
          <w:rtl w:val="0"/>
          <w:lang w:val="it-IT"/>
        </w:rPr>
        <w:t xml:space="preserve"> not been a priority for those in  the healthcare delivery system in Ghana in particular. It is high time all stakeholders in  the healthcare care delivery system in Ghana, who are genuinely interested in the human resource of this nation, gave this situation all the seriousness it deserves; we call on the health regulatory bodies, e.g. Ministry of Health, Ghana Health Services, Ghana Medical and Dental Association, the Department of Public Health, to as a matter of urgency, take the appropriate steps to rectify this anomaly in order to improve health delivery and ensure safe and quality health delivery system in the country.</w:t>
      </w:r>
    </w:p>
    <w:p>
      <w:pPr>
        <w:pStyle w:val="Body A"/>
        <w:jc w:val="both"/>
        <w:rPr>
          <w:u w:color="404042"/>
        </w:rPr>
      </w:pPr>
    </w:p>
    <w:p>
      <w:pPr>
        <w:pStyle w:val="Body A"/>
        <w:jc w:val="both"/>
        <w:rPr>
          <w:rFonts w:ascii="Times New Roman Bold" w:cs="Times New Roman Bold" w:hAnsi="Times New Roman Bold" w:eastAsia="Times New Roman Bold"/>
          <w:lang w:val="fr-FR"/>
        </w:rPr>
      </w:pPr>
      <w:r>
        <w:rPr>
          <w:rFonts w:ascii="Times New Roman Bold"/>
          <w:sz w:val="24"/>
          <w:szCs w:val="24"/>
          <w:rtl w:val="0"/>
          <w:lang w:val="fr-FR"/>
        </w:rPr>
        <w:t>References</w:t>
      </w:r>
    </w:p>
    <w:p>
      <w:pPr>
        <w:pStyle w:val="Body A"/>
        <w:jc w:val="both"/>
        <w:rPr>
          <w:i w:val="1"/>
          <w:iCs w:val="1"/>
          <w:u w:color="222222"/>
          <w:shd w:val="clear" w:color="auto" w:fill="ffffff"/>
        </w:rPr>
      </w:pPr>
      <w:r>
        <w:rPr>
          <w:sz w:val="24"/>
          <w:szCs w:val="24"/>
          <w:u w:color="222222"/>
          <w:shd w:val="clear" w:color="auto" w:fill="ffffff"/>
          <w:rtl w:val="0"/>
          <w:lang w:val="en-US"/>
        </w:rPr>
        <w:t>Adams, P., &amp; Fleck, F. (2015). Bridging the language divide in health.</w:t>
      </w:r>
      <w:r>
        <w:rPr>
          <w:rFonts w:hAnsi="Times New Roman" w:hint="default"/>
          <w:sz w:val="24"/>
          <w:szCs w:val="24"/>
          <w:u w:color="222222"/>
          <w:shd w:val="clear" w:color="auto" w:fill="ffffff"/>
          <w:rtl w:val="0"/>
          <w:lang w:val="en-US"/>
        </w:rPr>
        <w:t> </w:t>
      </w:r>
      <w:r>
        <w:rPr>
          <w:i w:val="1"/>
          <w:iCs w:val="1"/>
          <w:sz w:val="24"/>
          <w:szCs w:val="24"/>
          <w:u w:color="222222"/>
          <w:shd w:val="clear" w:color="auto" w:fill="ffffff"/>
          <w:rtl w:val="0"/>
          <w:lang w:val="en-US"/>
        </w:rPr>
        <w:t>World Health Organiza</w:t>
      </w:r>
    </w:p>
    <w:p>
      <w:pPr>
        <w:pStyle w:val="Body A"/>
        <w:jc w:val="both"/>
        <w:rPr>
          <w:u w:color="222222"/>
          <w:shd w:val="clear" w:color="auto" w:fill="ffffff"/>
        </w:rPr>
      </w:pPr>
      <w:r>
        <w:rPr>
          <w:i w:val="1"/>
          <w:iCs w:val="1"/>
          <w:sz w:val="24"/>
          <w:szCs w:val="24"/>
          <w:u w:color="222222"/>
          <w:shd w:val="clear" w:color="auto" w:fill="ffffff"/>
          <w:rtl w:val="0"/>
        </w:rPr>
        <w:tab/>
        <w:t>tion. Bulletin of the World Health Organization</w:t>
      </w:r>
      <w:r>
        <w:rPr>
          <w:sz w:val="24"/>
          <w:szCs w:val="24"/>
          <w:u w:color="222222"/>
          <w:shd w:val="clear" w:color="auto" w:fill="ffffff"/>
          <w:rtl w:val="0"/>
          <w:lang w:val="en-US"/>
        </w:rPr>
        <w:t>,</w:t>
      </w:r>
      <w:r>
        <w:rPr>
          <w:rFonts w:hAnsi="Times New Roman" w:hint="default"/>
          <w:sz w:val="24"/>
          <w:szCs w:val="24"/>
          <w:u w:color="222222"/>
          <w:shd w:val="clear" w:color="auto" w:fill="ffffff"/>
          <w:rtl w:val="0"/>
          <w:lang w:val="en-US"/>
        </w:rPr>
        <w:t> </w:t>
      </w:r>
      <w:r>
        <w:rPr>
          <w:i w:val="1"/>
          <w:iCs w:val="1"/>
          <w:sz w:val="24"/>
          <w:szCs w:val="24"/>
          <w:u w:color="222222"/>
          <w:shd w:val="clear" w:color="auto" w:fill="ffffff"/>
          <w:rtl w:val="0"/>
          <w:lang w:val="en-US"/>
        </w:rPr>
        <w:t>93</w:t>
      </w:r>
      <w:r>
        <w:rPr>
          <w:sz w:val="24"/>
          <w:szCs w:val="24"/>
          <w:u w:color="222222"/>
          <w:shd w:val="clear" w:color="auto" w:fill="ffffff"/>
          <w:rtl w:val="0"/>
          <w:lang w:val="en-US"/>
        </w:rPr>
        <w:t>(6), 365.</w:t>
      </w:r>
    </w:p>
    <w:p>
      <w:pPr>
        <w:pStyle w:val="Body A"/>
        <w:jc w:val="both"/>
        <w:rPr>
          <w:sz w:val="24"/>
          <w:szCs w:val="24"/>
          <w:rtl w:val="0"/>
        </w:rPr>
      </w:pPr>
      <w:r>
        <w:rPr>
          <w:sz w:val="24"/>
          <w:szCs w:val="24"/>
          <w:rtl w:val="0"/>
          <w:lang w:val="en-US"/>
        </w:rPr>
        <w:t xml:space="preserve">Andrulis, D., Goodman, N., &amp; Pryor, C. (2002). What a difference an interpreter can make: </w:t>
      </w:r>
    </w:p>
    <w:p>
      <w:pPr>
        <w:pStyle w:val="Body A"/>
        <w:jc w:val="both"/>
        <w:rPr>
          <w:sz w:val="24"/>
          <w:szCs w:val="24"/>
          <w:rtl w:val="0"/>
        </w:rPr>
      </w:pPr>
      <w:r>
        <w:rPr>
          <w:sz w:val="24"/>
          <w:szCs w:val="24"/>
          <w:rtl w:val="0"/>
        </w:rPr>
        <w:tab/>
        <w:t xml:space="preserve">Health care experiences of uninsured with limited English proficiency. Brandeis </w:t>
      </w:r>
    </w:p>
    <w:p>
      <w:pPr>
        <w:pStyle w:val="Body B"/>
        <w:rPr>
          <w:sz w:val="24"/>
          <w:szCs w:val="24"/>
          <w:rtl w:val="0"/>
        </w:rPr>
      </w:pPr>
      <w:r>
        <w:rPr>
          <w:rFonts w:ascii="Times New Roman" w:cs="Arial Unicode MS" w:hAnsi="Arial Unicode MS" w:eastAsia="Arial Unicode MS"/>
          <w:sz w:val="24"/>
          <w:szCs w:val="24"/>
          <w:rtl w:val="0"/>
        </w:rPr>
        <w:tab/>
        <w:t>University, The Access Project</w:t>
      </w:r>
    </w:p>
    <w:p>
      <w:pPr>
        <w:pStyle w:val="Body B"/>
        <w:rPr>
          <w:sz w:val="24"/>
          <w:szCs w:val="24"/>
          <w:rtl w:val="0"/>
        </w:rPr>
      </w:pPr>
      <w:r>
        <w:rPr>
          <w:rFonts w:ascii="Times New Roman" w:cs="Arial Unicode MS" w:hAnsi="Arial Unicode MS" w:eastAsia="Arial Unicode MS"/>
          <w:sz w:val="24"/>
          <w:szCs w:val="24"/>
          <w:rtl w:val="0"/>
          <w:lang w:val="en-US"/>
        </w:rPr>
        <w:t xml:space="preserve">Amfo, N. A. A., Houphouet, E. E., Dordoye, E. K., &amp; Thompson, R. (2018). Insanity is from </w:t>
      </w:r>
    </w:p>
    <w:p>
      <w:pPr>
        <w:pStyle w:val="Body B"/>
        <w:rPr>
          <w:sz w:val="22"/>
          <w:szCs w:val="22"/>
        </w:rPr>
      </w:pPr>
      <w:r>
        <w:rPr>
          <w:rFonts w:ascii="Times New Roman" w:cs="Arial Unicode MS" w:hAnsi="Arial Unicode MS" w:eastAsia="Arial Unicode MS"/>
          <w:sz w:val="24"/>
          <w:szCs w:val="24"/>
          <w:rtl w:val="0"/>
        </w:rPr>
        <w:tab/>
        <w:t>home. International Journal of Language and Culture, 5(1), 1-28.</w:t>
      </w:r>
    </w:p>
    <w:p>
      <w:pPr>
        <w:pStyle w:val="Body B A"/>
        <w:rPr>
          <w:i w:val="1"/>
          <w:iCs w:val="1"/>
        </w:rPr>
      </w:pPr>
      <w:r>
        <w:rPr>
          <w:rFonts w:ascii="Times New Roman" w:cs="Arial Unicode MS" w:hAnsi="Arial Unicode MS" w:eastAsia="Arial Unicode MS"/>
          <w:sz w:val="24"/>
          <w:szCs w:val="24"/>
          <w:rtl w:val="0"/>
          <w:lang w:val="en-US"/>
        </w:rPr>
        <w:t xml:space="preserve">Belaskri, Khadidza. (2012) </w:t>
      </w:r>
      <w:r>
        <w:rPr>
          <w:rFonts w:ascii="Times New Roman" w:cs="Arial Unicode MS" w:hAnsi="Arial Unicode MS" w:eastAsia="Arial Unicode MS"/>
          <w:i w:val="1"/>
          <w:iCs w:val="1"/>
          <w:sz w:val="24"/>
          <w:szCs w:val="24"/>
          <w:rtl w:val="0"/>
          <w:lang w:val="en-US"/>
        </w:rPr>
        <w:t xml:space="preserve">A sociolinguistic study of communication and language barriers in </w:t>
      </w:r>
    </w:p>
    <w:p>
      <w:pPr>
        <w:pStyle w:val="Body B A"/>
        <w:rPr>
          <w:sz w:val="24"/>
          <w:szCs w:val="24"/>
          <w:rtl w:val="0"/>
        </w:rPr>
      </w:pPr>
      <w:r>
        <w:rPr>
          <w:rFonts w:ascii="Times New Roman" w:cs="Arial Unicode MS" w:hAnsi="Arial Unicode MS" w:eastAsia="Arial Unicode MS"/>
          <w:i w:val="1"/>
          <w:iCs w:val="1"/>
          <w:sz w:val="24"/>
          <w:szCs w:val="24"/>
          <w:rtl w:val="0"/>
        </w:rPr>
        <w:tab/>
        <w:t>Algerian health setting.</w:t>
      </w:r>
      <w:r>
        <w:rPr>
          <w:rFonts w:ascii="Times New Roman" w:cs="Arial Unicode MS" w:hAnsi="Arial Unicode MS" w:eastAsia="Arial Unicode MS"/>
          <w:sz w:val="24"/>
          <w:szCs w:val="24"/>
          <w:rtl w:val="0"/>
          <w:lang w:val="en-US"/>
        </w:rPr>
        <w:t xml:space="preserve"> Dissertation submitted to the department of English, university of </w:t>
      </w:r>
    </w:p>
    <w:p>
      <w:pPr>
        <w:pStyle w:val="Body A"/>
        <w:tabs>
          <w:tab w:val="left" w:pos="6435"/>
        </w:tabs>
        <w:jc w:val="both"/>
        <w:rPr>
          <w:sz w:val="24"/>
          <w:szCs w:val="24"/>
          <w:rtl w:val="0"/>
        </w:rPr>
      </w:pPr>
      <w:r>
        <w:rPr>
          <w:sz w:val="24"/>
          <w:szCs w:val="24"/>
          <w:rtl w:val="0"/>
          <w:lang w:val="en-US"/>
        </w:rPr>
        <w:t xml:space="preserve">           Tlemcen, for the degree of MAGISTER in Sociolinguistics</w:t>
        <w:tab/>
      </w:r>
    </w:p>
    <w:p>
      <w:pPr>
        <w:pStyle w:val="Body B A"/>
        <w:rPr>
          <w:sz w:val="24"/>
          <w:szCs w:val="24"/>
          <w:rtl w:val="0"/>
        </w:rPr>
      </w:pPr>
      <w:r>
        <w:rPr>
          <w:rFonts w:ascii="Times New Roman" w:cs="Arial Unicode MS" w:hAnsi="Arial Unicode MS" w:eastAsia="Arial Unicode MS"/>
          <w:sz w:val="24"/>
          <w:szCs w:val="24"/>
          <w:rtl w:val="0"/>
          <w:lang w:val="en-US"/>
        </w:rPr>
        <w:t xml:space="preserve">Bishop, V. "Why Learn a Language? The Potential of Additional Language Tuition for Linguistic </w:t>
      </w:r>
    </w:p>
    <w:p>
      <w:pPr>
        <w:pStyle w:val="Body B A"/>
        <w:rPr>
          <w:sz w:val="24"/>
          <w:szCs w:val="24"/>
          <w:rtl w:val="0"/>
        </w:rPr>
      </w:pPr>
      <w:r>
        <w:rPr>
          <w:rFonts w:ascii="Times New Roman" w:cs="Arial Unicode MS" w:hAnsi="Arial Unicode MS" w:eastAsia="Arial Unicode MS"/>
          <w:sz w:val="24"/>
          <w:szCs w:val="24"/>
          <w:rtl w:val="0"/>
        </w:rPr>
        <w:tab/>
        <w:t xml:space="preserve">Identity Awareness and Anti-Discriminatory Practice within British Social Work </w:t>
      </w:r>
    </w:p>
    <w:p>
      <w:pPr>
        <w:pStyle w:val="Body B A"/>
        <w:rPr>
          <w:sz w:val="24"/>
          <w:szCs w:val="24"/>
          <w:rtl w:val="0"/>
        </w:rPr>
      </w:pPr>
      <w:r>
        <w:rPr>
          <w:rFonts w:ascii="Times New Roman" w:cs="Arial Unicode MS" w:hAnsi="Arial Unicode MS" w:eastAsia="Arial Unicode MS"/>
          <w:sz w:val="24"/>
          <w:szCs w:val="24"/>
          <w:rtl w:val="0"/>
        </w:rPr>
        <w:tab/>
        <w:t>Education." Social Work Education 27, 8 (December 2008): 913</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924.</w:t>
      </w:r>
    </w:p>
    <w:p>
      <w:pPr>
        <w:pStyle w:val="Body B A"/>
        <w:rPr>
          <w:sz w:val="24"/>
          <w:szCs w:val="24"/>
          <w:rtl w:val="0"/>
        </w:rPr>
      </w:pPr>
      <w:r>
        <w:rPr>
          <w:rFonts w:ascii="Times New Roman" w:cs="Arial Unicode MS" w:hAnsi="Arial Unicode MS" w:eastAsia="Arial Unicode MS"/>
          <w:sz w:val="24"/>
          <w:szCs w:val="24"/>
          <w:rtl w:val="0"/>
        </w:rPr>
        <w:tab/>
        <w:t>doi:10.1080/02615470701844357.</w:t>
      </w:r>
    </w:p>
    <w:p>
      <w:pPr>
        <w:pStyle w:val="Body A"/>
        <w:jc w:val="both"/>
        <w:rPr>
          <w:sz w:val="24"/>
          <w:szCs w:val="24"/>
          <w:rtl w:val="0"/>
        </w:rPr>
      </w:pPr>
      <w:r>
        <w:rPr>
          <w:sz w:val="24"/>
          <w:szCs w:val="24"/>
          <w:rtl w:val="0"/>
          <w:lang w:val="en-US"/>
        </w:rPr>
        <w:t xml:space="preserve">Bitner, M.J.; Faranda, W.T.; Hubbert, A.R.; Zethaml, V.A. (1997) Customer contributions and </w:t>
      </w:r>
    </w:p>
    <w:p>
      <w:pPr>
        <w:pStyle w:val="Body A"/>
        <w:jc w:val="both"/>
        <w:rPr>
          <w:sz w:val="24"/>
          <w:szCs w:val="24"/>
          <w:rtl w:val="0"/>
        </w:rPr>
      </w:pPr>
      <w:r>
        <w:rPr>
          <w:sz w:val="24"/>
          <w:szCs w:val="24"/>
          <w:rtl w:val="0"/>
        </w:rPr>
        <w:tab/>
        <w:t xml:space="preserve">roles in service delivery. International Journal of Service Industry Management. Vol. 8, </w:t>
      </w:r>
    </w:p>
    <w:p>
      <w:pPr>
        <w:pStyle w:val="Body A"/>
        <w:jc w:val="both"/>
        <w:rPr>
          <w:sz w:val="24"/>
          <w:szCs w:val="24"/>
          <w:rtl w:val="0"/>
        </w:rPr>
      </w:pPr>
      <w:r>
        <w:rPr>
          <w:sz w:val="24"/>
          <w:szCs w:val="24"/>
          <w:rtl w:val="0"/>
        </w:rPr>
        <w:tab/>
        <w:t xml:space="preserve">No.3. Pp. 193-205. </w:t>
      </w:r>
    </w:p>
    <w:p>
      <w:pPr>
        <w:pStyle w:val="Body A"/>
        <w:jc w:val="both"/>
        <w:rPr>
          <w:i w:val="1"/>
          <w:iCs w:val="1"/>
          <w:u w:color="222222"/>
          <w:shd w:val="clear" w:color="auto" w:fill="ffffff"/>
        </w:rPr>
      </w:pPr>
      <w:r>
        <w:rPr>
          <w:sz w:val="24"/>
          <w:szCs w:val="24"/>
          <w:u w:color="222222"/>
          <w:shd w:val="clear" w:color="auto" w:fill="ffffff"/>
          <w:rtl w:val="0"/>
          <w:lang w:val="en-US"/>
        </w:rPr>
        <w:t>Bourhis, R. Y., &amp; Montreuil, A. (2017). Acculturation, vitality, and bilingual health care. In</w:t>
      </w:r>
      <w:r>
        <w:rPr>
          <w:rFonts w:hAnsi="Times New Roman" w:hint="default"/>
          <w:sz w:val="24"/>
          <w:szCs w:val="24"/>
          <w:u w:color="222222"/>
          <w:shd w:val="clear" w:color="auto" w:fill="ffffff"/>
          <w:rtl w:val="0"/>
          <w:lang w:val="en-US"/>
        </w:rPr>
        <w:t> </w:t>
      </w:r>
      <w:r>
        <w:rPr>
          <w:i w:val="1"/>
          <w:iCs w:val="1"/>
          <w:sz w:val="24"/>
          <w:szCs w:val="24"/>
          <w:u w:color="222222"/>
          <w:shd w:val="clear" w:color="auto" w:fill="ffffff"/>
          <w:rtl w:val="0"/>
          <w:lang w:val="en-US"/>
        </w:rPr>
        <w:t xml:space="preserve">The </w:t>
      </w:r>
    </w:p>
    <w:p>
      <w:pPr>
        <w:pStyle w:val="Body B A"/>
        <w:rPr>
          <w:u w:color="222222"/>
          <w:shd w:val="clear" w:color="auto" w:fill="ffffff"/>
        </w:rPr>
      </w:pPr>
      <w:r>
        <w:rPr>
          <w:rFonts w:ascii="Times New Roman" w:cs="Arial Unicode MS" w:hAnsi="Arial Unicode MS" w:eastAsia="Arial Unicode MS"/>
          <w:i w:val="1"/>
          <w:iCs w:val="1"/>
          <w:sz w:val="24"/>
          <w:szCs w:val="24"/>
          <w:u w:color="222222"/>
          <w:shd w:val="clear" w:color="auto" w:fill="ffffff"/>
          <w:rtl w:val="0"/>
        </w:rPr>
        <w:tab/>
        <w:t>Oxford handbook of acculturation and health</w:t>
      </w:r>
      <w:r>
        <w:rPr>
          <w:rFonts w:ascii="Times New Roman" w:cs="Arial Unicode MS" w:hAnsi="Arial Unicode MS" w:eastAsia="Arial Unicode MS"/>
          <w:sz w:val="24"/>
          <w:szCs w:val="24"/>
          <w:u w:color="222222"/>
          <w:shd w:val="clear" w:color="auto" w:fill="ffffff"/>
          <w:rtl w:val="0"/>
          <w:lang w:val="en-US"/>
        </w:rPr>
        <w:t>. Oxford University Press.</w:t>
      </w:r>
    </w:p>
    <w:p>
      <w:pPr>
        <w:pStyle w:val="Body B A"/>
        <w:rPr>
          <w:sz w:val="24"/>
          <w:szCs w:val="24"/>
          <w:rtl w:val="0"/>
        </w:rPr>
      </w:pPr>
      <w:r>
        <w:rPr>
          <w:rFonts w:ascii="Times New Roman" w:cs="Arial Unicode MS" w:hAnsi="Arial Unicode MS" w:eastAsia="Arial Unicode MS"/>
          <w:sz w:val="24"/>
          <w:szCs w:val="24"/>
          <w:rtl w:val="0"/>
          <w:lang w:val="en-US"/>
        </w:rPr>
        <w:t>Bowen, S. "Language Barriers in Access to Health Care." Statistics Canada, catalogue  no. H39-</w:t>
      </w:r>
    </w:p>
    <w:p>
      <w:pPr>
        <w:pStyle w:val="Body B A"/>
        <w:rPr>
          <w:sz w:val="24"/>
          <w:szCs w:val="24"/>
          <w:rtl w:val="0"/>
        </w:rPr>
      </w:pPr>
      <w:r>
        <w:rPr>
          <w:rFonts w:ascii="Times New Roman" w:cs="Arial Unicode MS" w:hAnsi="Arial Unicode MS" w:eastAsia="Arial Unicode MS"/>
          <w:sz w:val="24"/>
          <w:szCs w:val="24"/>
          <w:rtl w:val="0"/>
        </w:rPr>
        <w:tab/>
        <w:t>578/ 2001E, November 2001, 141 p. Consulted at</w:t>
      </w:r>
    </w:p>
    <w:p>
      <w:pPr>
        <w:pStyle w:val="Body A"/>
        <w:jc w:val="both"/>
        <w:rPr>
          <w:lang w:val="fr-FR"/>
        </w:rPr>
      </w:pPr>
      <w:r>
        <w:rPr>
          <w:sz w:val="24"/>
          <w:szCs w:val="24"/>
          <w:rtl w:val="0"/>
        </w:rPr>
        <w:tab/>
      </w:r>
      <w:hyperlink r:id="rId8" w:history="1">
        <w:r>
          <w:rPr>
            <w:rStyle w:val="Hyperlink.0"/>
            <w:sz w:val="24"/>
            <w:szCs w:val="24"/>
            <w:u w:val="single"/>
            <w:rtl w:val="0"/>
            <w:lang w:val="de-DE"/>
          </w:rPr>
          <w:t>http://www.hc-sc.gc.ca/hcssss/pubs/acces/2001-lang-acces/index-eng.php</w:t>
        </w:r>
      </w:hyperlink>
      <w:r>
        <w:rPr>
          <w:sz w:val="24"/>
          <w:szCs w:val="24"/>
          <w:rtl w:val="0"/>
          <w:lang w:val="en-US"/>
        </w:rPr>
        <w:t>.</w:t>
      </w:r>
    </w:p>
    <w:p>
      <w:pPr>
        <w:pStyle w:val="Body A"/>
        <w:jc w:val="both"/>
        <w:rPr>
          <w:i w:val="1"/>
          <w:iCs w:val="1"/>
          <w:u w:color="222222"/>
          <w:shd w:val="clear" w:color="auto" w:fill="ffffff"/>
        </w:rPr>
      </w:pPr>
      <w:r>
        <w:rPr>
          <w:sz w:val="24"/>
          <w:szCs w:val="24"/>
          <w:u w:color="222222"/>
          <w:shd w:val="clear" w:color="auto" w:fill="ffffff"/>
          <w:rtl w:val="0"/>
          <w:lang w:val="en-US"/>
        </w:rPr>
        <w:t>Bourhis, R. Y., &amp; Montreuil, A. (2017). Acculturation, vitality, and bilingual health care. In</w:t>
      </w:r>
      <w:r>
        <w:rPr>
          <w:rFonts w:hAnsi="Times New Roman" w:hint="default"/>
          <w:sz w:val="24"/>
          <w:szCs w:val="24"/>
          <w:u w:color="222222"/>
          <w:shd w:val="clear" w:color="auto" w:fill="ffffff"/>
          <w:rtl w:val="0"/>
          <w:lang w:val="en-US"/>
        </w:rPr>
        <w:t> </w:t>
      </w:r>
      <w:r>
        <w:rPr>
          <w:i w:val="1"/>
          <w:iCs w:val="1"/>
          <w:sz w:val="24"/>
          <w:szCs w:val="24"/>
          <w:u w:color="222222"/>
          <w:shd w:val="clear" w:color="auto" w:fill="ffffff"/>
          <w:rtl w:val="0"/>
          <w:lang w:val="en-US"/>
        </w:rPr>
        <w:t xml:space="preserve">The </w:t>
      </w:r>
    </w:p>
    <w:p>
      <w:pPr>
        <w:pStyle w:val="Body A"/>
        <w:jc w:val="both"/>
        <w:rPr>
          <w:u w:color="222222"/>
          <w:shd w:val="clear" w:color="auto" w:fill="ffffff"/>
        </w:rPr>
      </w:pPr>
      <w:r>
        <w:rPr>
          <w:i w:val="1"/>
          <w:iCs w:val="1"/>
          <w:sz w:val="24"/>
          <w:szCs w:val="24"/>
          <w:u w:color="222222"/>
          <w:shd w:val="clear" w:color="auto" w:fill="ffffff"/>
          <w:rtl w:val="0"/>
        </w:rPr>
        <w:tab/>
        <w:t>Oxford handbook of acculturation and health</w:t>
      </w:r>
      <w:r>
        <w:rPr>
          <w:sz w:val="24"/>
          <w:szCs w:val="24"/>
          <w:u w:color="222222"/>
          <w:shd w:val="clear" w:color="auto" w:fill="ffffff"/>
          <w:rtl w:val="0"/>
          <w:lang w:val="en-US"/>
        </w:rPr>
        <w:t>. Oxford University Press.</w:t>
      </w:r>
    </w:p>
    <w:p>
      <w:pPr>
        <w:pStyle w:val="Body B A"/>
        <w:rPr>
          <w:sz w:val="24"/>
          <w:szCs w:val="24"/>
          <w:rtl w:val="0"/>
        </w:rPr>
      </w:pPr>
      <w:r>
        <w:rPr>
          <w:rFonts w:ascii="Times New Roman" w:cs="Arial Unicode MS" w:hAnsi="Arial Unicode MS" w:eastAsia="Arial Unicode MS"/>
          <w:sz w:val="24"/>
          <w:szCs w:val="24"/>
          <w:rtl w:val="0"/>
          <w:lang w:val="en-US"/>
        </w:rPr>
        <w:t xml:space="preserve">Carrasquillo, O; Orav, E.J.; Brennan, T.A.; Burstin H.R. (1999) Impact of language barriers on </w:t>
      </w:r>
    </w:p>
    <w:p>
      <w:pPr>
        <w:pStyle w:val="Body B A"/>
        <w:rPr>
          <w:sz w:val="24"/>
          <w:szCs w:val="24"/>
          <w:rtl w:val="0"/>
        </w:rPr>
      </w:pPr>
      <w:r>
        <w:rPr>
          <w:rFonts w:ascii="Times New Roman" w:cs="Arial Unicode MS" w:hAnsi="Arial Unicode MS" w:eastAsia="Arial Unicode MS"/>
          <w:sz w:val="24"/>
          <w:szCs w:val="24"/>
          <w:rtl w:val="0"/>
        </w:rPr>
        <w:tab/>
        <w:t xml:space="preserve">patient satisfaction in an emergency department. Journal of General Internal Medicine. </w:t>
      </w:r>
    </w:p>
    <w:p>
      <w:pPr>
        <w:pStyle w:val="Body B A"/>
        <w:rPr>
          <w:sz w:val="24"/>
          <w:szCs w:val="24"/>
          <w:rtl w:val="0"/>
        </w:rPr>
      </w:pPr>
      <w:r>
        <w:rPr>
          <w:rFonts w:ascii="Times New Roman" w:cs="Arial Unicode MS" w:hAnsi="Arial Unicode MS" w:eastAsia="Arial Unicode MS"/>
          <w:sz w:val="24"/>
          <w:szCs w:val="24"/>
          <w:rtl w:val="0"/>
        </w:rPr>
        <w:tab/>
        <w:t xml:space="preserve">Vol. 14. Pp. 82-87. </w:t>
      </w:r>
    </w:p>
    <w:p>
      <w:pPr>
        <w:pStyle w:val="Body B A"/>
        <w:rPr>
          <w:sz w:val="24"/>
          <w:szCs w:val="24"/>
          <w:rtl w:val="0"/>
        </w:rPr>
      </w:pPr>
      <w:r>
        <w:rPr>
          <w:rFonts w:ascii="Times New Roman" w:cs="Arial Unicode MS" w:hAnsi="Arial Unicode MS" w:eastAsia="Arial Unicode MS"/>
          <w:sz w:val="24"/>
          <w:szCs w:val="24"/>
          <w:rtl w:val="0"/>
          <w:lang w:val="en-US"/>
        </w:rPr>
        <w:t xml:space="preserve">Clark M.M. (1983). Cultural context of medical practice. Western Journal of Medicine, 139, </w:t>
      </w:r>
    </w:p>
    <w:p>
      <w:pPr>
        <w:pStyle w:val="Body B A"/>
        <w:rPr>
          <w:sz w:val="24"/>
          <w:szCs w:val="24"/>
          <w:rtl w:val="0"/>
        </w:rPr>
      </w:pPr>
      <w:r>
        <w:rPr>
          <w:rFonts w:ascii="Times New Roman" w:cs="Arial Unicode MS" w:hAnsi="Arial Unicode MS" w:eastAsia="Arial Unicode MS"/>
          <w:sz w:val="24"/>
          <w:szCs w:val="24"/>
          <w:rtl w:val="0"/>
        </w:rPr>
        <w:tab/>
        <w:t>806810.</w:t>
      </w:r>
    </w:p>
    <w:p>
      <w:pPr>
        <w:pStyle w:val="Body B A"/>
        <w:rPr>
          <w:sz w:val="24"/>
          <w:szCs w:val="24"/>
          <w:rtl w:val="0"/>
        </w:rPr>
      </w:pPr>
      <w:r>
        <w:rPr>
          <w:rFonts w:ascii="Times New Roman" w:cs="Arial Unicode MS" w:hAnsi="Arial Unicode MS" w:eastAsia="Arial Unicode MS"/>
          <w:sz w:val="24"/>
          <w:szCs w:val="24"/>
          <w:rtl w:val="0"/>
          <w:lang w:val="en-US"/>
        </w:rPr>
        <w:t xml:space="preserve">David, R. A., &amp; Rhee, M. (1998). The impact of language as a barrier to effective health care in </w:t>
      </w:r>
    </w:p>
    <w:p>
      <w:pPr>
        <w:pStyle w:val="Body B A"/>
        <w:rPr>
          <w:sz w:val="24"/>
          <w:szCs w:val="24"/>
          <w:rtl w:val="0"/>
        </w:rPr>
      </w:pPr>
      <w:r>
        <w:rPr>
          <w:rFonts w:ascii="Times New Roman" w:cs="Arial Unicode MS" w:hAnsi="Arial Unicode MS" w:eastAsia="Arial Unicode MS"/>
          <w:sz w:val="24"/>
          <w:szCs w:val="24"/>
          <w:rtl w:val="0"/>
        </w:rPr>
        <w:tab/>
        <w:t xml:space="preserve">an underserved urban hispanic community. The Mount Sinai Journal of Medicine, New </w:t>
      </w:r>
    </w:p>
    <w:p>
      <w:pPr>
        <w:pStyle w:val="Body B A"/>
        <w:rPr>
          <w:sz w:val="24"/>
          <w:szCs w:val="24"/>
          <w:rtl w:val="0"/>
        </w:rPr>
      </w:pPr>
      <w:r>
        <w:rPr>
          <w:rFonts w:ascii="Times New Roman" w:cs="Arial Unicode MS" w:hAnsi="Arial Unicode MS" w:eastAsia="Arial Unicode MS"/>
          <w:sz w:val="24"/>
          <w:szCs w:val="24"/>
          <w:rtl w:val="0"/>
        </w:rPr>
        <w:tab/>
        <w:t>York, 65(5-6), 393-397.</w:t>
      </w:r>
    </w:p>
    <w:p>
      <w:pPr>
        <w:pStyle w:val="Body B A"/>
        <w:rPr>
          <w:sz w:val="24"/>
          <w:szCs w:val="24"/>
          <w:rtl w:val="0"/>
        </w:rPr>
      </w:pPr>
      <w:r>
        <w:rPr>
          <w:rFonts w:ascii="Times New Roman" w:cs="Arial Unicode MS" w:hAnsi="Arial Unicode MS" w:eastAsia="Arial Unicode MS"/>
          <w:sz w:val="24"/>
          <w:szCs w:val="24"/>
          <w:rtl w:val="0"/>
          <w:lang w:val="en-US"/>
        </w:rPr>
        <w:t xml:space="preserve">Department of Health (2017). </w:t>
      </w:r>
      <w:hyperlink r:id="rId9" w:history="1">
        <w:r>
          <w:rPr>
            <w:rStyle w:val="Hyperlink.1"/>
            <w:rFonts w:ascii="Times New Roman" w:cs="Arial Unicode MS" w:hAnsi="Arial Unicode MS" w:eastAsia="Arial Unicode MS"/>
            <w:sz w:val="24"/>
            <w:szCs w:val="24"/>
            <w:u w:val="single" w:color="0563c1"/>
            <w:rtl w:val="0"/>
            <w:lang w:val="en-US"/>
          </w:rPr>
          <w:t>http://www.health.wa.gov.au/circularsnew/pdfs/13359.pdf</w:t>
        </w:r>
      </w:hyperlink>
      <w:r>
        <w:rPr>
          <w:rFonts w:ascii="Times New Roman" w:cs="Arial Unicode MS" w:hAnsi="Arial Unicode MS" w:eastAsia="Arial Unicode MS"/>
          <w:sz w:val="24"/>
          <w:szCs w:val="24"/>
          <w:rtl w:val="0"/>
          <w:lang w:val="en-US"/>
        </w:rPr>
        <w:t>.</w:t>
      </w:r>
    </w:p>
    <w:p>
      <w:pPr>
        <w:pStyle w:val="Body B A"/>
        <w:rPr>
          <w:sz w:val="24"/>
          <w:szCs w:val="24"/>
          <w:rtl w:val="0"/>
        </w:rPr>
      </w:pPr>
      <w:r>
        <w:rPr>
          <w:rFonts w:ascii="Times New Roman" w:cs="Arial Unicode MS" w:hAnsi="Arial Unicode MS" w:eastAsia="Arial Unicode MS"/>
          <w:sz w:val="24"/>
          <w:szCs w:val="24"/>
          <w:rtl w:val="0"/>
          <w:lang w:val="en-US"/>
        </w:rPr>
        <w:t xml:space="preserve">Ens, T. A., Seneviratne, C. C., Jones, C., Green, T. L., &amp; King-Shier, K. M. (2014). South asians' </w:t>
      </w:r>
    </w:p>
    <w:p>
      <w:pPr>
        <w:pStyle w:val="Body B A"/>
        <w:rPr>
          <w:i w:val="1"/>
          <w:iCs w:val="1"/>
        </w:rPr>
      </w:pPr>
      <w:r>
        <w:rPr>
          <w:rFonts w:ascii="Times New Roman" w:cs="Arial Unicode MS" w:hAnsi="Arial Unicode MS" w:eastAsia="Arial Unicode MS"/>
          <w:sz w:val="24"/>
          <w:szCs w:val="24"/>
          <w:rtl w:val="0"/>
        </w:rPr>
        <w:tab/>
        <w:t xml:space="preserve">cardiac medication adherence. European Journal of Cardiovascular Nursing : </w:t>
      </w:r>
      <w:r>
        <w:rPr>
          <w:rFonts w:ascii="Times New Roman" w:cs="Arial Unicode MS" w:hAnsi="Arial Unicode MS" w:eastAsia="Arial Unicode MS"/>
          <w:i w:val="1"/>
          <w:iCs w:val="1"/>
          <w:sz w:val="24"/>
          <w:szCs w:val="24"/>
          <w:rtl w:val="0"/>
          <w:lang w:val="en-US"/>
        </w:rPr>
        <w:t xml:space="preserve">Journal of </w:t>
      </w:r>
    </w:p>
    <w:p>
      <w:pPr>
        <w:pStyle w:val="Body B A"/>
        <w:rPr>
          <w:sz w:val="24"/>
          <w:szCs w:val="24"/>
          <w:rtl w:val="0"/>
        </w:rPr>
      </w:pPr>
      <w:r>
        <w:rPr>
          <w:rFonts w:ascii="Times New Roman" w:cs="Arial Unicode MS" w:hAnsi="Arial Unicode MS" w:eastAsia="Arial Unicode MS"/>
          <w:i w:val="1"/>
          <w:iCs w:val="1"/>
          <w:sz w:val="24"/>
          <w:szCs w:val="24"/>
          <w:rtl w:val="0"/>
        </w:rPr>
        <w:tab/>
        <w:t>the Working Group on Cardiovascular Nursing of the European Society of Cardiology</w:t>
      </w:r>
      <w:r>
        <w:rPr>
          <w:rFonts w:ascii="Times New Roman" w:cs="Arial Unicode MS" w:hAnsi="Arial Unicode MS" w:eastAsia="Arial Unicode MS"/>
          <w:sz w:val="24"/>
          <w:szCs w:val="24"/>
          <w:rtl w:val="0"/>
          <w:lang w:val="en-US"/>
        </w:rPr>
        <w:t xml:space="preserve">, </w:t>
      </w:r>
    </w:p>
    <w:p>
      <w:pPr>
        <w:pStyle w:val="Body B A"/>
        <w:rPr>
          <w:sz w:val="24"/>
          <w:szCs w:val="24"/>
          <w:rtl w:val="0"/>
        </w:rPr>
      </w:pPr>
      <w:r>
        <w:rPr>
          <w:rFonts w:ascii="Times New Roman" w:cs="Arial Unicode MS" w:hAnsi="Arial Unicode MS" w:eastAsia="Arial Unicode MS"/>
          <w:sz w:val="24"/>
          <w:szCs w:val="24"/>
          <w:rtl w:val="0"/>
        </w:rPr>
        <w:tab/>
        <w:t xml:space="preserve">13(4), 357-368. doi:10.1177/1474515113498187; 10.1177/1474515113498187  </w:t>
      </w:r>
    </w:p>
    <w:p>
      <w:pPr>
        <w:pStyle w:val="Body B A"/>
        <w:rPr>
          <w:sz w:val="24"/>
          <w:szCs w:val="24"/>
          <w:rtl w:val="0"/>
        </w:rPr>
      </w:pPr>
      <w:r>
        <w:rPr>
          <w:rFonts w:ascii="Times New Roman" w:cs="Arial Unicode MS" w:hAnsi="Arial Unicode MS" w:eastAsia="Arial Unicode MS"/>
          <w:sz w:val="24"/>
          <w:szCs w:val="24"/>
          <w:rtl w:val="0"/>
          <w:lang w:val="en-US"/>
        </w:rPr>
        <w:t>Fagan, M.J.; Diaz, J.A.; Reinert, S.E.; Sciamanna, C.N.; Fagan, D.M. (2003) Impact of interpre</w:t>
      </w:r>
    </w:p>
    <w:p>
      <w:pPr>
        <w:pStyle w:val="Body B A"/>
        <w:rPr>
          <w:sz w:val="24"/>
          <w:szCs w:val="24"/>
          <w:rtl w:val="0"/>
        </w:rPr>
      </w:pPr>
      <w:r>
        <w:rPr>
          <w:rFonts w:ascii="Times New Roman" w:cs="Arial Unicode MS" w:hAnsi="Arial Unicode MS" w:eastAsia="Arial Unicode MS"/>
          <w:sz w:val="24"/>
          <w:szCs w:val="24"/>
          <w:rtl w:val="0"/>
        </w:rPr>
        <w:tab/>
        <w:t xml:space="preserve">tation method on clinic visit length. Journal of General Internal Medicine. Vol. 18, No. 8. </w:t>
      </w:r>
    </w:p>
    <w:p>
      <w:pPr>
        <w:pStyle w:val="Body B A"/>
        <w:rPr>
          <w:sz w:val="24"/>
          <w:szCs w:val="24"/>
          <w:rtl w:val="0"/>
        </w:rPr>
      </w:pPr>
      <w:r>
        <w:rPr>
          <w:rFonts w:ascii="Times New Roman" w:cs="Arial Unicode MS" w:hAnsi="Arial Unicode MS" w:eastAsia="Arial Unicode MS"/>
          <w:sz w:val="24"/>
          <w:szCs w:val="24"/>
          <w:rtl w:val="0"/>
        </w:rPr>
        <w:tab/>
        <w:t xml:space="preserve">Pp. 634-638. </w:t>
      </w:r>
    </w:p>
    <w:p>
      <w:pPr>
        <w:pStyle w:val="Body B A"/>
        <w:rPr>
          <w:sz w:val="24"/>
          <w:szCs w:val="24"/>
          <w:rtl w:val="0"/>
        </w:rPr>
      </w:pPr>
      <w:r>
        <w:rPr>
          <w:rFonts w:ascii="Times New Roman" w:cs="Arial Unicode MS" w:hAnsi="Arial Unicode MS" w:eastAsia="Arial Unicode MS"/>
          <w:sz w:val="24"/>
          <w:szCs w:val="24"/>
          <w:rtl w:val="0"/>
          <w:lang w:val="en-US"/>
        </w:rPr>
        <w:t>Fernandez, A.; Schillinger, D.; Grumbach, K.; Rosenthal, A.; Stewart, A.L.; Wang, F.; Perez</w:t>
      </w:r>
    </w:p>
    <w:p>
      <w:pPr>
        <w:pStyle w:val="Body B A"/>
        <w:rPr>
          <w:i w:val="1"/>
          <w:iCs w:val="1"/>
        </w:rPr>
      </w:pPr>
      <w:r>
        <w:rPr>
          <w:rFonts w:ascii="Times New Roman" w:cs="Arial Unicode MS" w:hAnsi="Arial Unicode MS" w:eastAsia="Arial Unicode MS"/>
          <w:sz w:val="24"/>
          <w:szCs w:val="24"/>
          <w:rtl w:val="0"/>
        </w:rPr>
        <w:tab/>
        <w:t xml:space="preserve">Stable, E.J. (2004) Physician language ability and cultural competence. </w:t>
      </w:r>
      <w:r>
        <w:rPr>
          <w:rFonts w:ascii="Times New Roman" w:cs="Arial Unicode MS" w:hAnsi="Arial Unicode MS" w:eastAsia="Arial Unicode MS"/>
          <w:i w:val="1"/>
          <w:iCs w:val="1"/>
          <w:sz w:val="24"/>
          <w:szCs w:val="24"/>
          <w:rtl w:val="0"/>
          <w:lang w:val="en-US"/>
        </w:rPr>
        <w:t xml:space="preserve">Journal of </w:t>
      </w:r>
    </w:p>
    <w:p>
      <w:pPr>
        <w:pStyle w:val="Body B A"/>
        <w:rPr>
          <w:sz w:val="24"/>
          <w:szCs w:val="24"/>
          <w:rtl w:val="0"/>
        </w:rPr>
      </w:pPr>
      <w:r>
        <w:rPr>
          <w:rFonts w:ascii="Times New Roman" w:cs="Arial Unicode MS" w:hAnsi="Arial Unicode MS" w:eastAsia="Arial Unicode MS"/>
          <w:i w:val="1"/>
          <w:iCs w:val="1"/>
          <w:sz w:val="24"/>
          <w:szCs w:val="24"/>
          <w:rtl w:val="0"/>
        </w:rPr>
        <w:tab/>
        <w:t>General Internal Medicine.</w:t>
      </w:r>
      <w:r>
        <w:rPr>
          <w:rFonts w:ascii="Times New Roman" w:cs="Arial Unicode MS" w:hAnsi="Arial Unicode MS" w:eastAsia="Arial Unicode MS"/>
          <w:sz w:val="24"/>
          <w:szCs w:val="24"/>
          <w:rtl w:val="0"/>
          <w:lang w:val="en-US"/>
        </w:rPr>
        <w:t xml:space="preserve"> Vol. 19. Pp. 167-174. </w:t>
      </w:r>
    </w:p>
    <w:p>
      <w:pPr>
        <w:pStyle w:val="Body B A"/>
        <w:rPr>
          <w:sz w:val="24"/>
          <w:szCs w:val="24"/>
          <w:rtl w:val="0"/>
        </w:rPr>
      </w:pPr>
      <w:r>
        <w:rPr>
          <w:rFonts w:ascii="Times New Roman" w:cs="Arial Unicode MS" w:hAnsi="Arial Unicode MS" w:eastAsia="Arial Unicode MS"/>
          <w:sz w:val="24"/>
          <w:szCs w:val="24"/>
          <w:rtl w:val="0"/>
          <w:lang w:val="en-US"/>
        </w:rPr>
        <w:t>Flores, G; Laws, M.B.; Mayo, S.J.; Zuckerman, B; Abreu, M; Medina, L; Hardt, E.J. (2003).</w:t>
      </w:r>
    </w:p>
    <w:p>
      <w:pPr>
        <w:pStyle w:val="Body B A"/>
        <w:rPr>
          <w:sz w:val="24"/>
          <w:szCs w:val="24"/>
          <w:rtl w:val="0"/>
        </w:rPr>
      </w:pPr>
      <w:r>
        <w:rPr>
          <w:rFonts w:ascii="Times New Roman" w:cs="Arial Unicode MS" w:hAnsi="Arial Unicode MS" w:eastAsia="Arial Unicode MS"/>
          <w:sz w:val="24"/>
          <w:szCs w:val="24"/>
          <w:rtl w:val="0"/>
        </w:rPr>
        <w:tab/>
        <w:t xml:space="preserve">Errors in medical interpretation and their potential clinical consequences in pediatric </w:t>
      </w:r>
    </w:p>
    <w:p>
      <w:pPr>
        <w:pStyle w:val="Body B A"/>
        <w:rPr>
          <w:sz w:val="24"/>
          <w:szCs w:val="24"/>
          <w:rtl w:val="0"/>
        </w:rPr>
      </w:pPr>
      <w:r>
        <w:rPr>
          <w:rFonts w:ascii="Times New Roman" w:cs="Arial Unicode MS" w:hAnsi="Arial Unicode MS" w:eastAsia="Arial Unicode MS"/>
          <w:sz w:val="24"/>
          <w:szCs w:val="24"/>
          <w:rtl w:val="0"/>
        </w:rPr>
        <w:tab/>
        <w:t xml:space="preserve">encounters. </w:t>
      </w:r>
      <w:r>
        <w:rPr>
          <w:rFonts w:ascii="Times New Roman" w:cs="Arial Unicode MS" w:hAnsi="Arial Unicode MS" w:eastAsia="Arial Unicode MS"/>
          <w:i w:val="1"/>
          <w:iCs w:val="1"/>
          <w:sz w:val="24"/>
          <w:szCs w:val="24"/>
          <w:rtl w:val="0"/>
          <w:lang w:val="en-US"/>
        </w:rPr>
        <w:t>Pediatrics.</w:t>
      </w:r>
      <w:r>
        <w:rPr>
          <w:rFonts w:ascii="Times New Roman" w:cs="Arial Unicode MS" w:hAnsi="Arial Unicode MS" w:eastAsia="Arial Unicode MS"/>
          <w:sz w:val="24"/>
          <w:szCs w:val="24"/>
          <w:rtl w:val="0"/>
          <w:lang w:val="en-US"/>
        </w:rPr>
        <w:t xml:space="preserve"> Vol. 111, No. 51. Pp. 6-14. </w:t>
      </w:r>
    </w:p>
    <w:p>
      <w:pPr>
        <w:pStyle w:val="Body B A"/>
        <w:rPr>
          <w:sz w:val="24"/>
          <w:szCs w:val="24"/>
          <w:rtl w:val="0"/>
        </w:rPr>
      </w:pPr>
      <w:r>
        <w:rPr>
          <w:rFonts w:ascii="Times New Roman" w:cs="Arial Unicode MS" w:hAnsi="Arial Unicode MS" w:eastAsia="Arial Unicode MS"/>
          <w:sz w:val="24"/>
          <w:szCs w:val="24"/>
          <w:rtl w:val="0"/>
          <w:lang w:val="en-US"/>
        </w:rPr>
        <w:t xml:space="preserve">Hampers, L. C., and McNulty, J. E. Professional Interpreters and Bilingual Physicians in a </w:t>
      </w:r>
    </w:p>
    <w:p>
      <w:pPr>
        <w:pStyle w:val="Body B A"/>
        <w:rPr>
          <w:i w:val="1"/>
          <w:iCs w:val="1"/>
        </w:rPr>
      </w:pPr>
      <w:r>
        <w:rPr>
          <w:rFonts w:ascii="Times New Roman" w:cs="Arial Unicode MS" w:hAnsi="Arial Unicode MS" w:eastAsia="Arial Unicode MS"/>
          <w:sz w:val="24"/>
          <w:szCs w:val="24"/>
          <w:rtl w:val="0"/>
        </w:rPr>
        <w:tab/>
        <w:t>Pediatric Emergency Department: Effect on Resource Utilization.</w:t>
      </w:r>
      <w:r>
        <w:rPr>
          <w:rFonts w:ascii="Times New Roman" w:cs="Arial Unicode MS" w:hAnsi="Arial Unicode MS" w:eastAsia="Arial Unicode MS"/>
          <w:i w:val="1"/>
          <w:iCs w:val="1"/>
          <w:sz w:val="24"/>
          <w:szCs w:val="24"/>
          <w:rtl w:val="0"/>
          <w:lang w:val="en-US"/>
        </w:rPr>
        <w:t xml:space="preserve">Archives of Pediatrics </w:t>
      </w:r>
    </w:p>
    <w:p>
      <w:pPr>
        <w:pStyle w:val="Body B A"/>
        <w:rPr>
          <w:sz w:val="24"/>
          <w:szCs w:val="24"/>
          <w:rtl w:val="0"/>
        </w:rPr>
      </w:pPr>
      <w:r>
        <w:rPr>
          <w:rFonts w:ascii="Times New Roman" w:cs="Arial Unicode MS" w:hAnsi="Arial Unicode MS" w:eastAsia="Arial Unicode MS"/>
          <w:i w:val="1"/>
          <w:iCs w:val="1"/>
          <w:sz w:val="24"/>
          <w:szCs w:val="24"/>
          <w:rtl w:val="0"/>
        </w:rPr>
        <w:tab/>
        <w:t>&amp; Adolescent Medicine</w:t>
      </w:r>
      <w:r>
        <w:rPr>
          <w:rFonts w:ascii="Times New Roman" w:cs="Arial Unicode MS" w:hAnsi="Arial Unicode MS" w:eastAsia="Arial Unicode MS"/>
          <w:sz w:val="24"/>
          <w:szCs w:val="24"/>
          <w:rtl w:val="0"/>
          <w:lang w:val="en-US"/>
        </w:rPr>
        <w:t xml:space="preserve"> 156, 11 (November 2002): 1108</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 xml:space="preserve">1113. </w:t>
      </w:r>
    </w:p>
    <w:p>
      <w:pPr>
        <w:pStyle w:val="Body B A"/>
        <w:rPr>
          <w:sz w:val="24"/>
          <w:szCs w:val="24"/>
          <w:rtl w:val="0"/>
        </w:rPr>
      </w:pPr>
      <w:r>
        <w:rPr>
          <w:rFonts w:ascii="Times New Roman" w:cs="Arial Unicode MS" w:hAnsi="Arial Unicode MS" w:eastAsia="Arial Unicode MS"/>
          <w:sz w:val="24"/>
          <w:szCs w:val="24"/>
          <w:rtl w:val="0"/>
          <w:lang w:val="en-US"/>
        </w:rPr>
        <w:t>Han, A., Laranjo, H., and Friedman, S. M. The Design and Pilot of a Translation Aid to Help</w:t>
      </w:r>
    </w:p>
    <w:p>
      <w:pPr>
        <w:pStyle w:val="Body B A"/>
        <w:rPr>
          <w:sz w:val="24"/>
          <w:szCs w:val="24"/>
          <w:rtl w:val="0"/>
        </w:rPr>
      </w:pPr>
      <w:r>
        <w:rPr>
          <w:rFonts w:ascii="Times New Roman" w:cs="Arial Unicode MS" w:hAnsi="Arial Unicode MS" w:eastAsia="Arial Unicode MS"/>
          <w:sz w:val="24"/>
          <w:szCs w:val="24"/>
          <w:rtl w:val="0"/>
        </w:rPr>
        <w:tab/>
        <w:t xml:space="preserve"> ED Clinicians Enhance Communication with the Portuguese-Speaking Patient.</w:t>
      </w:r>
    </w:p>
    <w:p>
      <w:pPr>
        <w:pStyle w:val="Body B A"/>
        <w:rPr>
          <w:sz w:val="24"/>
          <w:szCs w:val="24"/>
          <w:rtl w:val="0"/>
        </w:rPr>
      </w:pPr>
      <w:r>
        <w:rPr>
          <w:sz w:val="24"/>
          <w:szCs w:val="24"/>
          <w:rtl w:val="0"/>
        </w:rPr>
        <w:tab/>
      </w:r>
      <w:r>
        <w:rPr>
          <w:rFonts w:ascii="Times New Roman" w:cs="Arial Unicode MS" w:hAnsi="Arial Unicode MS" w:eastAsia="Arial Unicode MS"/>
          <w:i w:val="1"/>
          <w:iCs w:val="1"/>
          <w:sz w:val="24"/>
          <w:szCs w:val="24"/>
          <w:rtl w:val="0"/>
          <w:lang w:val="en-US"/>
        </w:rPr>
        <w:t xml:space="preserve">International Journal of Emergency Medicine </w:t>
      </w:r>
      <w:r>
        <w:rPr>
          <w:rFonts w:ascii="Times New Roman" w:cs="Arial Unicode MS" w:hAnsi="Arial Unicode MS" w:eastAsia="Arial Unicode MS"/>
          <w:sz w:val="24"/>
          <w:szCs w:val="24"/>
          <w:rtl w:val="0"/>
          <w:lang w:val="en-US"/>
        </w:rPr>
        <w:t>2, 1 (April 2009): 41</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 xml:space="preserve">46. </w:t>
      </w:r>
    </w:p>
    <w:p>
      <w:pPr>
        <w:pStyle w:val="Body B A"/>
        <w:rPr>
          <w:sz w:val="24"/>
          <w:szCs w:val="24"/>
          <w:rtl w:val="0"/>
        </w:rPr>
      </w:pPr>
      <w:r>
        <w:rPr>
          <w:rFonts w:ascii="Times New Roman" w:cs="Arial Unicode MS" w:hAnsi="Arial Unicode MS" w:eastAsia="Arial Unicode MS"/>
          <w:sz w:val="24"/>
          <w:szCs w:val="24"/>
          <w:rtl w:val="0"/>
        </w:rPr>
        <w:tab/>
        <w:t>doi: 10.1007/s12245-008-0081-8.</w:t>
      </w:r>
    </w:p>
    <w:p>
      <w:pPr>
        <w:pStyle w:val="Body B A"/>
        <w:rPr>
          <w:sz w:val="24"/>
          <w:szCs w:val="24"/>
          <w:rtl w:val="0"/>
        </w:rPr>
      </w:pPr>
      <w:r>
        <w:rPr>
          <w:rFonts w:ascii="Times New Roman" w:cs="Arial Unicode MS" w:hAnsi="Arial Unicode MS" w:eastAsia="Arial Unicode MS"/>
          <w:sz w:val="24"/>
          <w:szCs w:val="24"/>
          <w:rtl w:val="0"/>
          <w:lang w:val="en-US"/>
        </w:rPr>
        <w:t xml:space="preserve">Holmqvist, J. (2011) Consumer language preferences in service encounters: a cross-cultural </w:t>
      </w:r>
    </w:p>
    <w:p>
      <w:pPr>
        <w:pStyle w:val="Body B A"/>
        <w:rPr>
          <w:sz w:val="24"/>
          <w:szCs w:val="24"/>
          <w:rtl w:val="0"/>
        </w:rPr>
      </w:pPr>
      <w:r>
        <w:rPr>
          <w:rFonts w:ascii="Times New Roman" w:cs="Arial Unicode MS" w:hAnsi="Arial Unicode MS" w:eastAsia="Arial Unicode MS"/>
          <w:sz w:val="24"/>
          <w:szCs w:val="24"/>
          <w:rtl w:val="0"/>
        </w:rPr>
        <w:tab/>
        <w:t xml:space="preserve">perspective. </w:t>
      </w:r>
      <w:r>
        <w:rPr>
          <w:rFonts w:ascii="Times New Roman" w:cs="Arial Unicode MS" w:hAnsi="Arial Unicode MS" w:eastAsia="Arial Unicode MS"/>
          <w:i w:val="1"/>
          <w:iCs w:val="1"/>
          <w:sz w:val="24"/>
          <w:szCs w:val="24"/>
          <w:rtl w:val="0"/>
          <w:lang w:val="en-US"/>
        </w:rPr>
        <w:t>Managing Service Quality</w:t>
      </w:r>
      <w:r>
        <w:rPr>
          <w:rFonts w:ascii="Times New Roman" w:cs="Arial Unicode MS" w:hAnsi="Arial Unicode MS" w:eastAsia="Arial Unicode MS"/>
          <w:sz w:val="24"/>
          <w:szCs w:val="24"/>
          <w:rtl w:val="0"/>
          <w:lang w:val="en-US"/>
        </w:rPr>
        <w:t xml:space="preserve">. Vol. 21, No. 2. Pp. 178-191. </w:t>
      </w:r>
    </w:p>
    <w:p>
      <w:pPr>
        <w:pStyle w:val="Body B A"/>
        <w:rPr>
          <w:sz w:val="24"/>
          <w:szCs w:val="24"/>
          <w:rtl w:val="0"/>
        </w:rPr>
      </w:pPr>
      <w:r>
        <w:rPr>
          <w:rFonts w:ascii="Times New Roman" w:cs="Arial Unicode MS" w:hAnsi="Arial Unicode MS" w:eastAsia="Arial Unicode MS"/>
          <w:sz w:val="24"/>
          <w:szCs w:val="24"/>
          <w:rtl w:val="0"/>
          <w:lang w:val="en-US"/>
        </w:rPr>
        <w:t>Jackson, C. (1998). Medical interpretation: an essential service for non-English speaking immi</w:t>
      </w:r>
    </w:p>
    <w:p>
      <w:pPr>
        <w:pStyle w:val="Body B A"/>
        <w:rPr>
          <w:sz w:val="24"/>
          <w:szCs w:val="24"/>
          <w:rtl w:val="0"/>
        </w:rPr>
      </w:pPr>
      <w:r>
        <w:rPr>
          <w:rFonts w:ascii="Times New Roman" w:cs="Arial Unicode MS" w:hAnsi="Arial Unicode MS" w:eastAsia="Arial Unicode MS"/>
          <w:sz w:val="24"/>
          <w:szCs w:val="24"/>
          <w:rtl w:val="0"/>
        </w:rPr>
        <w:tab/>
        <w:t>grants. In S. Loue (Ed.),</w:t>
      </w:r>
      <w:r>
        <w:rPr>
          <w:rFonts w:ascii="Times New Roman" w:cs="Arial Unicode MS" w:hAnsi="Arial Unicode MS" w:eastAsia="Arial Unicode MS"/>
          <w:i w:val="1"/>
          <w:iCs w:val="1"/>
          <w:sz w:val="24"/>
          <w:szCs w:val="24"/>
          <w:rtl w:val="0"/>
          <w:lang w:val="en-US"/>
        </w:rPr>
        <w:t xml:space="preserve"> Handbook of Immigrant Health</w:t>
      </w:r>
      <w:r>
        <w:rPr>
          <w:rFonts w:ascii="Times New Roman" w:cs="Arial Unicode MS" w:hAnsi="Arial Unicode MS" w:eastAsia="Arial Unicode MS"/>
          <w:sz w:val="24"/>
          <w:szCs w:val="24"/>
          <w:rtl w:val="0"/>
          <w:lang w:val="en-US"/>
        </w:rPr>
        <w:t xml:space="preserve"> (pp. 61-79). New York: Plenum.</w:t>
      </w:r>
    </w:p>
    <w:p>
      <w:pPr>
        <w:pStyle w:val="Body B A"/>
        <w:rPr>
          <w:sz w:val="24"/>
          <w:szCs w:val="24"/>
          <w:rtl w:val="0"/>
        </w:rPr>
      </w:pPr>
      <w:r>
        <w:rPr>
          <w:rFonts w:ascii="Times New Roman" w:cs="Arial Unicode MS" w:hAnsi="Arial Unicode MS" w:eastAsia="Arial Unicode MS"/>
          <w:sz w:val="24"/>
          <w:szCs w:val="24"/>
          <w:rtl w:val="0"/>
          <w:lang w:val="en-US"/>
        </w:rPr>
        <w:t xml:space="preserve">Jacobs, E; Chen, A; Karliner, L.S.; Agger-Gupta, N; Mutha, S. (2006). The need for more </w:t>
      </w:r>
    </w:p>
    <w:p>
      <w:pPr>
        <w:pStyle w:val="Body B A"/>
        <w:rPr>
          <w:i w:val="1"/>
          <w:iCs w:val="1"/>
        </w:rPr>
      </w:pPr>
      <w:r>
        <w:rPr>
          <w:rFonts w:ascii="Times New Roman" w:cs="Arial Unicode MS" w:hAnsi="Arial Unicode MS" w:eastAsia="Arial Unicode MS"/>
          <w:sz w:val="24"/>
          <w:szCs w:val="24"/>
          <w:rtl w:val="0"/>
        </w:rPr>
        <w:tab/>
        <w:t xml:space="preserve">research on language barriers in health care: a proposed research agenda. </w:t>
      </w:r>
      <w:r>
        <w:rPr>
          <w:rFonts w:ascii="Times New Roman" w:cs="Arial Unicode MS" w:hAnsi="Arial Unicode MS" w:eastAsia="Arial Unicode MS"/>
          <w:i w:val="1"/>
          <w:iCs w:val="1"/>
          <w:sz w:val="24"/>
          <w:szCs w:val="24"/>
          <w:rtl w:val="0"/>
          <w:lang w:val="en-US"/>
        </w:rPr>
        <w:t xml:space="preserve">The Milbank </w:t>
      </w:r>
    </w:p>
    <w:p>
      <w:pPr>
        <w:pStyle w:val="Body B A"/>
        <w:rPr>
          <w:sz w:val="24"/>
          <w:szCs w:val="24"/>
          <w:rtl w:val="0"/>
        </w:rPr>
      </w:pPr>
      <w:r>
        <w:rPr>
          <w:rFonts w:ascii="Times New Roman" w:cs="Arial Unicode MS" w:hAnsi="Arial Unicode MS" w:eastAsia="Arial Unicode MS"/>
          <w:i w:val="1"/>
          <w:iCs w:val="1"/>
          <w:sz w:val="24"/>
          <w:szCs w:val="24"/>
          <w:rtl w:val="0"/>
        </w:rPr>
        <w:tab/>
        <w:t>Quarterly</w:t>
      </w:r>
      <w:r>
        <w:rPr>
          <w:rFonts w:ascii="Times New Roman" w:cs="Arial Unicode MS" w:hAnsi="Arial Unicode MS" w:eastAsia="Arial Unicode MS"/>
          <w:sz w:val="24"/>
          <w:szCs w:val="24"/>
          <w:rtl w:val="0"/>
          <w:lang w:val="en-US"/>
        </w:rPr>
        <w:t xml:space="preserve">. Vol. 84, No. 1. Pp. 111-133. </w:t>
      </w:r>
    </w:p>
    <w:p>
      <w:pPr>
        <w:pStyle w:val="Body B A"/>
        <w:rPr>
          <w:sz w:val="24"/>
          <w:szCs w:val="24"/>
          <w:rtl w:val="0"/>
        </w:rPr>
      </w:pPr>
      <w:r>
        <w:rPr>
          <w:rFonts w:ascii="Times New Roman" w:cs="Arial Unicode MS" w:hAnsi="Arial Unicode MS" w:eastAsia="Arial Unicode MS"/>
          <w:sz w:val="24"/>
          <w:szCs w:val="24"/>
          <w:rtl w:val="0"/>
          <w:lang w:val="en-US"/>
        </w:rPr>
        <w:t xml:space="preserve">John-Baptiste, A; Naglie, G; Tomlinson, G; Alibhai, S; Etchells, E; Cheung, A; Kapral, M; Gold, </w:t>
      </w:r>
    </w:p>
    <w:p>
      <w:pPr>
        <w:pStyle w:val="Body B A"/>
        <w:rPr>
          <w:sz w:val="24"/>
          <w:szCs w:val="24"/>
          <w:rtl w:val="0"/>
        </w:rPr>
      </w:pPr>
      <w:r>
        <w:rPr>
          <w:rFonts w:ascii="Times New Roman" w:cs="Arial Unicode MS" w:hAnsi="Arial Unicode MS" w:eastAsia="Arial Unicode MS"/>
          <w:sz w:val="24"/>
          <w:szCs w:val="24"/>
          <w:rtl w:val="0"/>
        </w:rPr>
        <w:tab/>
        <w:t xml:space="preserve">W.; Abrams, H; Bacchus, M; Krahn, M. (2004) The effect of English language </w:t>
      </w:r>
    </w:p>
    <w:p>
      <w:pPr>
        <w:pStyle w:val="Body B A"/>
        <w:rPr>
          <w:i w:val="1"/>
          <w:iCs w:val="1"/>
        </w:rPr>
      </w:pPr>
      <w:r>
        <w:rPr>
          <w:rFonts w:ascii="Times New Roman" w:cs="Arial Unicode MS" w:hAnsi="Arial Unicode MS" w:eastAsia="Arial Unicode MS"/>
          <w:sz w:val="24"/>
          <w:szCs w:val="24"/>
          <w:rtl w:val="0"/>
        </w:rPr>
        <w:tab/>
        <w:t>proficiency on length of stay and in-hospital mortality. J</w:t>
      </w:r>
      <w:r>
        <w:rPr>
          <w:rFonts w:ascii="Times New Roman" w:cs="Arial Unicode MS" w:hAnsi="Arial Unicode MS" w:eastAsia="Arial Unicode MS"/>
          <w:i w:val="1"/>
          <w:iCs w:val="1"/>
          <w:sz w:val="24"/>
          <w:szCs w:val="24"/>
          <w:rtl w:val="0"/>
          <w:lang w:val="en-US"/>
        </w:rPr>
        <w:t xml:space="preserve">ournal of General Internal </w:t>
      </w:r>
    </w:p>
    <w:p>
      <w:pPr>
        <w:pStyle w:val="Body B A"/>
        <w:rPr>
          <w:sz w:val="24"/>
          <w:szCs w:val="24"/>
          <w:rtl w:val="0"/>
          <w:lang w:val="en-US"/>
        </w:rPr>
      </w:pPr>
      <w:r>
        <w:rPr>
          <w:rFonts w:ascii="Times New Roman" w:cs="Arial Unicode MS" w:hAnsi="Arial Unicode MS" w:eastAsia="Arial Unicode MS"/>
          <w:i w:val="1"/>
          <w:iCs w:val="1"/>
          <w:sz w:val="24"/>
          <w:szCs w:val="24"/>
          <w:rtl w:val="0"/>
        </w:rPr>
        <w:tab/>
        <w:t>Medicine</w:t>
      </w:r>
      <w:r>
        <w:rPr>
          <w:rFonts w:ascii="Times New Roman" w:cs="Arial Unicode MS" w:hAnsi="Arial Unicode MS" w:eastAsia="Arial Unicode MS"/>
          <w:sz w:val="24"/>
          <w:szCs w:val="24"/>
          <w:rtl w:val="0"/>
          <w:lang w:val="en-US"/>
        </w:rPr>
        <w:t xml:space="preserve">. Vol. 19, No. 3. Pp. 221-228. </w:t>
      </w:r>
    </w:p>
    <w:p>
      <w:pPr>
        <w:pStyle w:val="Body B A"/>
        <w:rPr>
          <w:sz w:val="24"/>
          <w:szCs w:val="24"/>
          <w:rtl w:val="0"/>
        </w:rPr>
      </w:pPr>
    </w:p>
    <w:p>
      <w:pPr>
        <w:pStyle w:val="Body B A"/>
        <w:rPr>
          <w:sz w:val="24"/>
          <w:szCs w:val="24"/>
          <w:rtl w:val="0"/>
        </w:rPr>
      </w:pPr>
      <w:r>
        <w:rPr>
          <w:rFonts w:ascii="Times New Roman" w:cs="Arial Unicode MS" w:hAnsi="Arial Unicode MS" w:eastAsia="Arial Unicode MS"/>
          <w:sz w:val="24"/>
          <w:szCs w:val="24"/>
          <w:rtl w:val="0"/>
          <w:lang w:val="en-US"/>
        </w:rPr>
        <w:t xml:space="preserve"> Kaplan, S. H., Greenfield, S., &amp; Ware, J. E.,Jr. (1989). Assessing the effects of physician-patient </w:t>
      </w:r>
    </w:p>
    <w:p>
      <w:pPr>
        <w:pStyle w:val="Body B A"/>
        <w:rPr>
          <w:sz w:val="24"/>
          <w:szCs w:val="24"/>
          <w:rtl w:val="0"/>
        </w:rPr>
      </w:pPr>
      <w:r>
        <w:rPr>
          <w:rFonts w:ascii="Times New Roman" w:cs="Arial Unicode MS" w:hAnsi="Arial Unicode MS" w:eastAsia="Arial Unicode MS"/>
          <w:sz w:val="24"/>
          <w:szCs w:val="24"/>
          <w:rtl w:val="0"/>
        </w:rPr>
        <w:tab/>
        <w:t xml:space="preserve">interactions on the outcomes of chronic disease. </w:t>
      </w:r>
      <w:r>
        <w:rPr>
          <w:rFonts w:ascii="Times New Roman" w:cs="Arial Unicode MS" w:hAnsi="Arial Unicode MS" w:eastAsia="Arial Unicode MS"/>
          <w:i w:val="1"/>
          <w:iCs w:val="1"/>
          <w:sz w:val="24"/>
          <w:szCs w:val="24"/>
          <w:rtl w:val="0"/>
          <w:lang w:val="en-US"/>
        </w:rPr>
        <w:t>Medical Care</w:t>
      </w:r>
      <w:r>
        <w:rPr>
          <w:rFonts w:ascii="Times New Roman" w:cs="Arial Unicode MS" w:hAnsi="Arial Unicode MS" w:eastAsia="Arial Unicode MS"/>
          <w:sz w:val="24"/>
          <w:szCs w:val="24"/>
          <w:rtl w:val="0"/>
          <w:lang w:val="en-US"/>
        </w:rPr>
        <w:t>, 27(3 Suppl), S110-27.</w:t>
      </w:r>
    </w:p>
    <w:p>
      <w:pPr>
        <w:pStyle w:val="Body B A"/>
        <w:rPr>
          <w:sz w:val="24"/>
          <w:szCs w:val="24"/>
          <w:rtl w:val="0"/>
        </w:rPr>
      </w:pPr>
      <w:r>
        <w:rPr>
          <w:rFonts w:ascii="Times New Roman" w:cs="Arial Unicode MS" w:hAnsi="Arial Unicode MS" w:eastAsia="Arial Unicode MS"/>
          <w:sz w:val="24"/>
          <w:szCs w:val="24"/>
          <w:rtl w:val="0"/>
          <w:lang w:val="en-US"/>
        </w:rPr>
        <w:t xml:space="preserve">Karliner, L.S.; Jacobs, E.A.; Chen, A.H.; Mutha, S. (2007). Do professional interpreters improve </w:t>
      </w:r>
    </w:p>
    <w:p>
      <w:pPr>
        <w:pStyle w:val="Body B A"/>
        <w:rPr>
          <w:sz w:val="24"/>
          <w:szCs w:val="24"/>
          <w:rtl w:val="0"/>
        </w:rPr>
      </w:pPr>
      <w:r>
        <w:rPr>
          <w:rFonts w:ascii="Times New Roman" w:cs="Arial Unicode MS" w:hAnsi="Arial Unicode MS" w:eastAsia="Arial Unicode MS"/>
          <w:sz w:val="24"/>
          <w:szCs w:val="24"/>
          <w:rtl w:val="0"/>
        </w:rPr>
        <w:tab/>
        <w:t>clinical care for patients with limited English proficiency? A systematic review of the</w:t>
      </w:r>
    </w:p>
    <w:p>
      <w:pPr>
        <w:pStyle w:val="Body B A"/>
        <w:rPr>
          <w:sz w:val="24"/>
          <w:szCs w:val="24"/>
          <w:rtl w:val="0"/>
        </w:rPr>
      </w:pPr>
      <w:r>
        <w:rPr>
          <w:rFonts w:ascii="Times New Roman" w:cs="Arial Unicode MS" w:hAnsi="Arial Unicode MS" w:eastAsia="Arial Unicode MS"/>
          <w:sz w:val="24"/>
          <w:szCs w:val="24"/>
          <w:rtl w:val="0"/>
        </w:rPr>
        <w:tab/>
        <w:t xml:space="preserve"> literature.</w:t>
      </w:r>
      <w:r>
        <w:rPr>
          <w:rFonts w:ascii="Times New Roman" w:cs="Arial Unicode MS" w:hAnsi="Arial Unicode MS" w:eastAsia="Arial Unicode MS"/>
          <w:i w:val="1"/>
          <w:iCs w:val="1"/>
          <w:sz w:val="24"/>
          <w:szCs w:val="24"/>
          <w:rtl w:val="0"/>
          <w:lang w:val="en-US"/>
        </w:rPr>
        <w:t xml:space="preserve"> Health Services Research.</w:t>
      </w:r>
      <w:r>
        <w:rPr>
          <w:rFonts w:ascii="Times New Roman" w:cs="Arial Unicode MS" w:hAnsi="Arial Unicode MS" w:eastAsia="Arial Unicode MS"/>
          <w:sz w:val="24"/>
          <w:szCs w:val="24"/>
          <w:rtl w:val="0"/>
          <w:lang w:val="en-US"/>
        </w:rPr>
        <w:t xml:space="preserve"> Vol. 42, No. 2. Pp. 727-754. </w:t>
      </w:r>
    </w:p>
    <w:p>
      <w:pPr>
        <w:pStyle w:val="Body B A"/>
        <w:rPr>
          <w:sz w:val="24"/>
          <w:szCs w:val="24"/>
          <w:rtl w:val="0"/>
        </w:rPr>
      </w:pPr>
      <w:r>
        <w:rPr>
          <w:rFonts w:ascii="Times New Roman" w:cs="Arial Unicode MS" w:hAnsi="Arial Unicode MS" w:eastAsia="Arial Unicode MS"/>
          <w:sz w:val="24"/>
          <w:szCs w:val="24"/>
          <w:rtl w:val="0"/>
          <w:lang w:val="en-US"/>
        </w:rPr>
        <w:t xml:space="preserve">Krueger, K. P., Berger, B. A., &amp; Felkey, B. (2005). Medication adherence and persistence: A </w:t>
      </w:r>
    </w:p>
    <w:p>
      <w:pPr>
        <w:pStyle w:val="Body B A"/>
        <w:rPr>
          <w:sz w:val="24"/>
          <w:szCs w:val="24"/>
          <w:rtl w:val="0"/>
        </w:rPr>
      </w:pPr>
      <w:r>
        <w:rPr>
          <w:rFonts w:ascii="Times New Roman" w:cs="Arial Unicode MS" w:hAnsi="Arial Unicode MS" w:eastAsia="Arial Unicode MS"/>
          <w:sz w:val="24"/>
          <w:szCs w:val="24"/>
          <w:rtl w:val="0"/>
        </w:rPr>
        <w:tab/>
        <w:t>comprehensive review. Advances in Therapy, 22(4), 313-356. Retrieved from</w:t>
      </w:r>
    </w:p>
    <w:p>
      <w:pPr>
        <w:pStyle w:val="Body B A"/>
      </w:pPr>
      <w:r>
        <w:rPr>
          <w:sz w:val="24"/>
          <w:szCs w:val="24"/>
          <w:rtl w:val="0"/>
        </w:rPr>
        <w:tab/>
      </w:r>
      <w:hyperlink r:id="rId10" w:history="1">
        <w:r>
          <w:rPr>
            <w:rStyle w:val="Hyperlink.2"/>
            <w:rFonts w:ascii="Times New Roman" w:cs="Arial Unicode MS" w:hAnsi="Arial Unicode MS" w:eastAsia="Arial Unicode MS"/>
            <w:sz w:val="24"/>
            <w:szCs w:val="24"/>
            <w:u w:val="single"/>
            <w:rtl w:val="0"/>
            <w:lang w:val="en-US"/>
          </w:rPr>
          <w:t>http://www.scopus.com/inward/record.url?eid=2-s2.029344456174&amp;partner</w:t>
        </w:r>
      </w:hyperlink>
    </w:p>
    <w:p>
      <w:pPr>
        <w:pStyle w:val="Body B A"/>
        <w:rPr>
          <w:sz w:val="24"/>
          <w:szCs w:val="24"/>
          <w:rtl w:val="0"/>
        </w:rPr>
      </w:pPr>
      <w:r>
        <w:rPr>
          <w:rFonts w:ascii="Times New Roman" w:cs="Arial Unicode MS" w:hAnsi="Arial Unicode MS" w:eastAsia="Arial Unicode MS"/>
          <w:sz w:val="24"/>
          <w:szCs w:val="24"/>
          <w:rtl w:val="0"/>
        </w:rPr>
        <w:tab/>
        <w:t xml:space="preserve">ID=40&amp;md5=8dfeb72df4822648759c5d564f468896.  </w:t>
      </w:r>
    </w:p>
    <w:p>
      <w:pPr>
        <w:pStyle w:val="Body B A"/>
        <w:rPr>
          <w:sz w:val="24"/>
          <w:szCs w:val="24"/>
          <w:rtl w:val="0"/>
        </w:rPr>
      </w:pPr>
      <w:r>
        <w:rPr>
          <w:rFonts w:ascii="Times New Roman" w:cs="Arial Unicode MS" w:hAnsi="Arial Unicode MS" w:eastAsia="Arial Unicode MS"/>
          <w:sz w:val="24"/>
          <w:szCs w:val="24"/>
          <w:rtl w:val="0"/>
          <w:lang w:val="en-US"/>
        </w:rPr>
        <w:t>Masland, M. C., Kang, S. H., &amp; Ma, Y. (2011). Association between limited english proficiency</w:t>
      </w:r>
    </w:p>
    <w:p>
      <w:pPr>
        <w:pStyle w:val="Body B A"/>
        <w:rPr>
          <w:i w:val="1"/>
          <w:iCs w:val="1"/>
        </w:rPr>
      </w:pPr>
      <w:r>
        <w:rPr>
          <w:rFonts w:ascii="Times New Roman" w:cs="Arial Unicode MS" w:hAnsi="Arial Unicode MS" w:eastAsia="Arial Unicode MS"/>
          <w:sz w:val="24"/>
          <w:szCs w:val="24"/>
          <w:rtl w:val="0"/>
        </w:rPr>
        <w:tab/>
        <w:t xml:space="preserve"> and understanding prescription labels among five ethnic groups in California. </w:t>
      </w:r>
      <w:r>
        <w:rPr>
          <w:rFonts w:ascii="Times New Roman" w:cs="Arial Unicode MS" w:hAnsi="Arial Unicode MS" w:eastAsia="Arial Unicode MS"/>
          <w:i w:val="1"/>
          <w:iCs w:val="1"/>
          <w:sz w:val="24"/>
          <w:szCs w:val="24"/>
          <w:rtl w:val="0"/>
          <w:lang w:val="en-US"/>
        </w:rPr>
        <w:t xml:space="preserve">Ethnicity </w:t>
      </w:r>
    </w:p>
    <w:p>
      <w:pPr>
        <w:pStyle w:val="Body B A"/>
        <w:rPr>
          <w:sz w:val="24"/>
          <w:szCs w:val="24"/>
          <w:rtl w:val="0"/>
        </w:rPr>
      </w:pPr>
      <w:r>
        <w:rPr>
          <w:rFonts w:ascii="Times New Roman" w:cs="Arial Unicode MS" w:hAnsi="Arial Unicode MS" w:eastAsia="Arial Unicode MS"/>
          <w:i w:val="1"/>
          <w:iCs w:val="1"/>
          <w:sz w:val="24"/>
          <w:szCs w:val="24"/>
          <w:rtl w:val="0"/>
        </w:rPr>
        <w:tab/>
        <w:t>&amp;Health</w:t>
      </w:r>
      <w:r>
        <w:rPr>
          <w:rFonts w:ascii="Times New Roman" w:cs="Arial Unicode MS" w:hAnsi="Arial Unicode MS" w:eastAsia="Arial Unicode MS"/>
          <w:sz w:val="24"/>
          <w:szCs w:val="24"/>
          <w:rtl w:val="0"/>
          <w:lang w:val="en-US"/>
        </w:rPr>
        <w:t>, 16(2), 125-144. doi:10.1080/13557858.2010.543950.</w:t>
      </w:r>
    </w:p>
    <w:p>
      <w:pPr>
        <w:pStyle w:val="Body B"/>
        <w:rPr>
          <w:sz w:val="24"/>
          <w:szCs w:val="24"/>
          <w:rtl w:val="0"/>
        </w:rPr>
      </w:pPr>
      <w:r>
        <w:rPr>
          <w:rFonts w:ascii="Times New Roman" w:cs="Arial Unicode MS" w:hAnsi="Arial Unicode MS" w:eastAsia="Arial Unicode MS"/>
          <w:sz w:val="24"/>
          <w:szCs w:val="24"/>
          <w:rtl w:val="0"/>
          <w:lang w:val="en-US"/>
        </w:rPr>
        <w:t xml:space="preserve">Meuter, R. F., Gallois, C., Segalowitz, N. S., Ryder, A. G., &amp; Hocking, J. (2015). Overcoming </w:t>
      </w:r>
    </w:p>
    <w:p>
      <w:pPr>
        <w:pStyle w:val="Body B"/>
        <w:rPr>
          <w:sz w:val="24"/>
          <w:szCs w:val="24"/>
          <w:rtl w:val="0"/>
        </w:rPr>
      </w:pPr>
      <w:r>
        <w:rPr>
          <w:rFonts w:ascii="Times New Roman" w:cs="Arial Unicode MS" w:hAnsi="Arial Unicode MS" w:eastAsia="Arial Unicode MS"/>
          <w:sz w:val="24"/>
          <w:szCs w:val="24"/>
          <w:rtl w:val="0"/>
        </w:rPr>
        <w:tab/>
        <w:t>language barriers in healthcare: A protocol for investigating safe and effective commune</w:t>
      </w:r>
    </w:p>
    <w:p>
      <w:pPr>
        <w:pStyle w:val="Body B"/>
        <w:rPr>
          <w:sz w:val="24"/>
          <w:szCs w:val="24"/>
          <w:rtl w:val="0"/>
        </w:rPr>
      </w:pPr>
      <w:r>
        <w:rPr>
          <w:rFonts w:ascii="Times New Roman" w:cs="Arial Unicode MS" w:hAnsi="Arial Unicode MS" w:eastAsia="Arial Unicode MS"/>
          <w:sz w:val="24"/>
          <w:szCs w:val="24"/>
          <w:rtl w:val="0"/>
        </w:rPr>
        <w:tab/>
        <w:t xml:space="preserve">cation when patients or clinicians use a second language. </w:t>
      </w:r>
      <w:r>
        <w:rPr>
          <w:rFonts w:ascii="Times New Roman" w:cs="Arial Unicode MS" w:hAnsi="Arial Unicode MS" w:eastAsia="Arial Unicode MS"/>
          <w:i w:val="1"/>
          <w:iCs w:val="1"/>
          <w:sz w:val="24"/>
          <w:szCs w:val="24"/>
          <w:rtl w:val="0"/>
          <w:lang w:val="en-US"/>
        </w:rPr>
        <w:t>BMC health services research</w:t>
      </w:r>
      <w:r>
        <w:rPr>
          <w:rFonts w:ascii="Times New Roman" w:cs="Arial Unicode MS" w:hAnsi="Arial Unicode MS" w:eastAsia="Arial Unicode MS"/>
          <w:sz w:val="24"/>
          <w:szCs w:val="24"/>
          <w:rtl w:val="0"/>
          <w:lang w:val="en-US"/>
        </w:rPr>
        <w:t xml:space="preserve">, </w:t>
      </w:r>
    </w:p>
    <w:p>
      <w:pPr>
        <w:pStyle w:val="Body B"/>
        <w:rPr>
          <w:sz w:val="24"/>
          <w:szCs w:val="24"/>
          <w:rtl w:val="0"/>
        </w:rPr>
      </w:pPr>
      <w:r>
        <w:rPr>
          <w:rFonts w:ascii="Times New Roman" w:cs="Arial Unicode MS" w:hAnsi="Arial Unicode MS" w:eastAsia="Arial Unicode MS"/>
          <w:sz w:val="24"/>
          <w:szCs w:val="24"/>
          <w:rtl w:val="0"/>
        </w:rPr>
        <w:tab/>
        <w:t xml:space="preserve">15(1), 371. </w:t>
      </w:r>
    </w:p>
    <w:p>
      <w:pPr>
        <w:pStyle w:val="Body B"/>
        <w:rPr>
          <w:sz w:val="24"/>
          <w:szCs w:val="24"/>
          <w:rtl w:val="0"/>
        </w:rPr>
      </w:pPr>
      <w:r>
        <w:rPr>
          <w:rFonts w:ascii="Times New Roman" w:cs="Arial Unicode MS" w:hAnsi="Arial Unicode MS" w:eastAsia="Arial Unicode MS"/>
          <w:sz w:val="24"/>
          <w:szCs w:val="24"/>
          <w:rtl w:val="0"/>
          <w:lang w:val="en-US"/>
        </w:rPr>
        <w:t xml:space="preserve">Morales, L.S.; Cunningham, W.E.; Brown, J.A.; Liu, H.; Hays, R.D. (1999) Are Latinos less </w:t>
      </w:r>
    </w:p>
    <w:p>
      <w:pPr>
        <w:pStyle w:val="Body B"/>
        <w:rPr>
          <w:i w:val="1"/>
          <w:iCs w:val="1"/>
        </w:rPr>
      </w:pPr>
      <w:r>
        <w:rPr>
          <w:rFonts w:ascii="Times New Roman" w:cs="Arial Unicode MS" w:hAnsi="Arial Unicode MS" w:eastAsia="Arial Unicode MS"/>
          <w:sz w:val="24"/>
          <w:szCs w:val="24"/>
          <w:rtl w:val="0"/>
        </w:rPr>
        <w:tab/>
        <w:t xml:space="preserve">satisfied with communication by health care providers? </w:t>
      </w:r>
      <w:r>
        <w:rPr>
          <w:rFonts w:ascii="Times New Roman" w:cs="Arial Unicode MS" w:hAnsi="Arial Unicode MS" w:eastAsia="Arial Unicode MS"/>
          <w:i w:val="1"/>
          <w:iCs w:val="1"/>
          <w:sz w:val="24"/>
          <w:szCs w:val="24"/>
          <w:rtl w:val="0"/>
          <w:lang w:val="en-US"/>
        </w:rPr>
        <w:t xml:space="preserve">Journal of General Internal </w:t>
      </w:r>
    </w:p>
    <w:p>
      <w:pPr>
        <w:pStyle w:val="Body B A"/>
        <w:rPr>
          <w:i w:val="1"/>
          <w:iCs w:val="1"/>
        </w:rPr>
      </w:pPr>
      <w:r>
        <w:rPr>
          <w:rFonts w:ascii="Times New Roman" w:cs="Arial Unicode MS" w:hAnsi="Arial Unicode MS" w:eastAsia="Arial Unicode MS"/>
          <w:i w:val="1"/>
          <w:iCs w:val="1"/>
          <w:sz w:val="24"/>
          <w:szCs w:val="24"/>
          <w:rtl w:val="0"/>
        </w:rPr>
        <w:tab/>
        <w:t xml:space="preserve">Medicine. Vol. 14. Pp. 409-417.  </w:t>
      </w:r>
    </w:p>
    <w:p>
      <w:pPr>
        <w:pStyle w:val="Body B A"/>
        <w:tabs>
          <w:tab w:val="left" w:pos="1725"/>
          <w:tab w:val="left" w:pos="3735"/>
        </w:tabs>
        <w:rPr>
          <w:i w:val="1"/>
          <w:iCs w:val="1"/>
        </w:rPr>
      </w:pPr>
      <w:r>
        <w:rPr>
          <w:sz w:val="24"/>
          <w:szCs w:val="24"/>
          <w:rtl w:val="0"/>
          <w:lang w:val="nl-NL"/>
        </w:rPr>
        <w:t>Ouimet, A., Trempe, N., Vissandj</w:t>
      </w:r>
      <w:r>
        <w:rPr>
          <w:rFonts w:hAnsi="Times New Roman" w:hint="default"/>
          <w:sz w:val="24"/>
          <w:szCs w:val="24"/>
          <w:rtl w:val="0"/>
          <w:lang w:val="fr-FR"/>
        </w:rPr>
        <w:t>é</w:t>
      </w:r>
      <w:r>
        <w:rPr>
          <w:sz w:val="24"/>
          <w:szCs w:val="24"/>
          <w:rtl w:val="0"/>
          <w:lang w:val="en-US"/>
        </w:rPr>
        <w:t>e, B. and Hemlin, I. 2013</w:t>
      </w:r>
      <w:r>
        <w:rPr>
          <w:i w:val="1"/>
          <w:iCs w:val="1"/>
          <w:sz w:val="24"/>
          <w:szCs w:val="24"/>
          <w:rtl w:val="0"/>
          <w:lang w:val="en-US"/>
        </w:rPr>
        <w:t xml:space="preserve">.  Language Adaptation in Health </w:t>
      </w:r>
    </w:p>
    <w:p>
      <w:pPr>
        <w:pStyle w:val="Body B A"/>
        <w:rPr>
          <w:i w:val="1"/>
          <w:iCs w:val="1"/>
          <w:sz w:val="24"/>
          <w:szCs w:val="24"/>
          <w:rtl w:val="0"/>
          <w:lang w:val="en-US"/>
        </w:rPr>
      </w:pPr>
      <w:r>
        <w:rPr>
          <w:rFonts w:ascii="Times New Roman" w:cs="Arial Unicode MS" w:hAnsi="Arial Unicode MS" w:eastAsia="Arial Unicode MS"/>
          <w:i w:val="1"/>
          <w:iCs w:val="1"/>
          <w:sz w:val="24"/>
          <w:szCs w:val="24"/>
          <w:rtl w:val="0"/>
        </w:rPr>
        <w:tab/>
        <w:t>Care and Health Services: Issues and Strategies.</w:t>
      </w:r>
      <w:r>
        <w:rPr>
          <w:rFonts w:ascii="Times New Roman" w:cs="Arial Unicode MS" w:hAnsi="Arial Unicode MS" w:eastAsia="Arial Unicode MS"/>
          <w:sz w:val="24"/>
          <w:szCs w:val="24"/>
          <w:rtl w:val="0"/>
          <w:lang w:val="fr-FR"/>
        </w:rPr>
        <w:t>Saint-Foy: Que</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bec</w:t>
      </w:r>
      <w:r>
        <w:rPr>
          <w:rFonts w:ascii="Times New Roman" w:cs="Arial Unicode MS" w:hAnsi="Arial Unicode MS" w:eastAsia="Arial Unicode MS"/>
          <w:i w:val="1"/>
          <w:iCs w:val="1"/>
          <w:sz w:val="24"/>
          <w:szCs w:val="24"/>
          <w:rtl w:val="0"/>
          <w:lang w:val="en-US"/>
        </w:rPr>
        <w:t>.</w:t>
      </w:r>
    </w:p>
    <w:p>
      <w:pPr>
        <w:pStyle w:val="Body B A"/>
        <w:rPr>
          <w:i w:val="1"/>
          <w:iCs w:val="1"/>
        </w:rPr>
      </w:pPr>
    </w:p>
    <w:p>
      <w:pPr>
        <w:pStyle w:val="Body B A"/>
        <w:rPr>
          <w:sz w:val="24"/>
          <w:szCs w:val="24"/>
          <w:rtl w:val="0"/>
        </w:rPr>
      </w:pPr>
      <w:r>
        <w:rPr>
          <w:rFonts w:ascii="Times New Roman" w:cs="Arial Unicode MS" w:hAnsi="Arial Unicode MS" w:eastAsia="Arial Unicode MS"/>
          <w:sz w:val="24"/>
          <w:szCs w:val="24"/>
          <w:rtl w:val="0"/>
          <w:lang w:val="en-US"/>
        </w:rPr>
        <w:t>Rivadeneyra, R.; Elderkin-Thompson, V.; Silver, R.C.; Waitzkin, H. (2000) Patient centeredness</w:t>
      </w:r>
    </w:p>
    <w:p>
      <w:pPr>
        <w:pStyle w:val="Body B A"/>
        <w:rPr>
          <w:sz w:val="24"/>
          <w:szCs w:val="24"/>
          <w:rtl w:val="0"/>
        </w:rPr>
      </w:pPr>
      <w:r>
        <w:rPr>
          <w:rFonts w:ascii="Times New Roman" w:cs="Arial Unicode MS" w:hAnsi="Arial Unicode MS" w:eastAsia="Arial Unicode MS"/>
          <w:sz w:val="24"/>
          <w:szCs w:val="24"/>
          <w:rtl w:val="0"/>
        </w:rPr>
        <w:tab/>
        <w:t xml:space="preserve">in medical encounters requiring an interpreter. </w:t>
      </w:r>
      <w:r>
        <w:rPr>
          <w:rFonts w:ascii="Times New Roman" w:cs="Arial Unicode MS" w:hAnsi="Arial Unicode MS" w:eastAsia="Arial Unicode MS"/>
          <w:i w:val="1"/>
          <w:iCs w:val="1"/>
          <w:sz w:val="24"/>
          <w:szCs w:val="24"/>
          <w:rtl w:val="0"/>
          <w:lang w:val="en-US"/>
        </w:rPr>
        <w:t xml:space="preserve">American Journal of Medicine. </w:t>
      </w:r>
      <w:r>
        <w:rPr>
          <w:rFonts w:ascii="Times New Roman" w:cs="Arial Unicode MS" w:hAnsi="Arial Unicode MS" w:eastAsia="Arial Unicode MS"/>
          <w:sz w:val="24"/>
          <w:szCs w:val="24"/>
          <w:rtl w:val="0"/>
          <w:lang w:val="en-US"/>
        </w:rPr>
        <w:t xml:space="preserve">Vol. </w:t>
      </w:r>
    </w:p>
    <w:p>
      <w:pPr>
        <w:pStyle w:val="Body B A"/>
        <w:rPr>
          <w:sz w:val="24"/>
          <w:szCs w:val="24"/>
          <w:rtl w:val="0"/>
        </w:rPr>
      </w:pPr>
      <w:r>
        <w:rPr>
          <w:rFonts w:ascii="Times New Roman" w:cs="Arial Unicode MS" w:hAnsi="Arial Unicode MS" w:eastAsia="Arial Unicode MS"/>
          <w:sz w:val="24"/>
          <w:szCs w:val="24"/>
          <w:rtl w:val="0"/>
        </w:rPr>
        <w:tab/>
        <w:t xml:space="preserve">108. Pp. 470-474.  </w:t>
      </w:r>
    </w:p>
    <w:p>
      <w:pPr>
        <w:pStyle w:val="Body B A"/>
        <w:rPr>
          <w:sz w:val="24"/>
          <w:szCs w:val="24"/>
          <w:rtl w:val="0"/>
        </w:rPr>
      </w:pPr>
      <w:r>
        <w:rPr>
          <w:rFonts w:ascii="Times New Roman" w:cs="Arial Unicode MS" w:hAnsi="Arial Unicode MS" w:eastAsia="Arial Unicode MS"/>
          <w:sz w:val="24"/>
          <w:szCs w:val="24"/>
          <w:rtl w:val="0"/>
          <w:lang w:val="en-US"/>
        </w:rPr>
        <w:t xml:space="preserve">Samuels-Kalow, M. E., Stack, A. M., &amp; Porter, S. C. (2013). Parental language and dosing errors </w:t>
      </w:r>
    </w:p>
    <w:p>
      <w:pPr>
        <w:pStyle w:val="Body B A"/>
        <w:rPr>
          <w:i w:val="1"/>
          <w:iCs w:val="1"/>
          <w:sz w:val="24"/>
          <w:szCs w:val="24"/>
          <w:rtl w:val="0"/>
        </w:rPr>
      </w:pPr>
      <w:r>
        <w:rPr>
          <w:rFonts w:ascii="Times New Roman" w:cs="Arial Unicode MS" w:hAnsi="Arial Unicode MS" w:eastAsia="Arial Unicode MS"/>
          <w:sz w:val="24"/>
          <w:szCs w:val="24"/>
          <w:rtl w:val="0"/>
        </w:rPr>
        <w:tab/>
        <w:t xml:space="preserve">after discharge from the pediatric emergency department. </w:t>
      </w:r>
      <w:r>
        <w:rPr>
          <w:rFonts w:ascii="Times New Roman" w:cs="Arial Unicode MS" w:hAnsi="Arial Unicode MS" w:eastAsia="Arial Unicode MS"/>
          <w:i w:val="1"/>
          <w:iCs w:val="1"/>
          <w:sz w:val="24"/>
          <w:szCs w:val="24"/>
          <w:rtl w:val="0"/>
          <w:lang w:val="en-US"/>
        </w:rPr>
        <w:t>Pediatric Emergency Care,</w:t>
      </w:r>
    </w:p>
    <w:p>
      <w:pPr>
        <w:pStyle w:val="Body B A"/>
        <w:rPr>
          <w:sz w:val="24"/>
          <w:szCs w:val="24"/>
          <w:rtl w:val="0"/>
        </w:rPr>
      </w:pPr>
      <w:r>
        <w:rPr>
          <w:rFonts w:ascii="Times New Roman" w:cs="Arial Unicode MS" w:hAnsi="Arial Unicode MS" w:eastAsia="Arial Unicode MS"/>
          <w:sz w:val="24"/>
          <w:szCs w:val="24"/>
          <w:rtl w:val="0"/>
        </w:rPr>
        <w:tab/>
        <w:t>29(9), 982-987. doi:10.1097/PEC.0b013e3182a269ec; 10.1097/PEC.0b013e3182a269ec.</w:t>
      </w:r>
    </w:p>
    <w:p>
      <w:pPr>
        <w:pStyle w:val="Body B A"/>
        <w:rPr>
          <w:sz w:val="24"/>
          <w:szCs w:val="24"/>
          <w:rtl w:val="0"/>
        </w:rPr>
      </w:pPr>
      <w:r>
        <w:rPr>
          <w:rFonts w:ascii="Times New Roman" w:cs="Arial Unicode MS" w:hAnsi="Arial Unicode MS" w:eastAsia="Arial Unicode MS"/>
          <w:sz w:val="24"/>
          <w:szCs w:val="24"/>
          <w:rtl w:val="0"/>
          <w:lang w:val="en-US"/>
        </w:rPr>
        <w:t xml:space="preserve">Sarver, J. &amp; Baker, D.W. (2000) Effect of language barriers on follow-up appointments after </w:t>
      </w:r>
    </w:p>
    <w:p>
      <w:pPr>
        <w:pStyle w:val="Body B A"/>
        <w:rPr>
          <w:sz w:val="24"/>
          <w:szCs w:val="24"/>
          <w:rtl w:val="0"/>
        </w:rPr>
      </w:pPr>
      <w:r>
        <w:rPr>
          <w:rFonts w:ascii="Times New Roman" w:cs="Arial Unicode MS" w:hAnsi="Arial Unicode MS" w:eastAsia="Arial Unicode MS"/>
          <w:sz w:val="24"/>
          <w:szCs w:val="24"/>
          <w:rtl w:val="0"/>
        </w:rPr>
        <w:tab/>
        <w:t xml:space="preserve">an emergency department visit. </w:t>
      </w:r>
      <w:r>
        <w:rPr>
          <w:rFonts w:ascii="Times New Roman" w:cs="Arial Unicode MS" w:hAnsi="Arial Unicode MS" w:eastAsia="Arial Unicode MS"/>
          <w:i w:val="1"/>
          <w:iCs w:val="1"/>
          <w:sz w:val="24"/>
          <w:szCs w:val="24"/>
          <w:rtl w:val="0"/>
          <w:lang w:val="en-US"/>
        </w:rPr>
        <w:t xml:space="preserve">Journal of General Internal Medicine. </w:t>
      </w:r>
      <w:r>
        <w:rPr>
          <w:rFonts w:ascii="Times New Roman" w:cs="Arial Unicode MS" w:hAnsi="Arial Unicode MS" w:eastAsia="Arial Unicode MS"/>
          <w:sz w:val="24"/>
          <w:szCs w:val="24"/>
          <w:rtl w:val="0"/>
          <w:lang w:val="en-US"/>
        </w:rPr>
        <w:t xml:space="preserve">Vol. 15, No. 4. </w:t>
      </w:r>
    </w:p>
    <w:p>
      <w:pPr>
        <w:pStyle w:val="Body B A"/>
        <w:rPr>
          <w:sz w:val="24"/>
          <w:szCs w:val="24"/>
          <w:rtl w:val="0"/>
        </w:rPr>
      </w:pPr>
      <w:r>
        <w:rPr>
          <w:rFonts w:ascii="Times New Roman" w:cs="Arial Unicode MS" w:hAnsi="Arial Unicode MS" w:eastAsia="Arial Unicode MS"/>
          <w:sz w:val="24"/>
          <w:szCs w:val="24"/>
          <w:rtl w:val="0"/>
        </w:rPr>
        <w:tab/>
        <w:t xml:space="preserve">Pp. 256-264. </w:t>
      </w:r>
    </w:p>
    <w:p>
      <w:pPr>
        <w:pStyle w:val="Body B A"/>
        <w:rPr>
          <w:sz w:val="24"/>
          <w:szCs w:val="24"/>
          <w:rtl w:val="0"/>
        </w:rPr>
      </w:pPr>
      <w:r>
        <w:rPr>
          <w:rFonts w:ascii="Times New Roman" w:cs="Arial Unicode MS" w:hAnsi="Arial Unicode MS" w:eastAsia="Arial Unicode MS"/>
          <w:sz w:val="24"/>
          <w:szCs w:val="24"/>
          <w:rtl w:val="0"/>
          <w:lang w:val="en-US"/>
        </w:rPr>
        <w:t xml:space="preserve">Schyve, P. M. (2007). Language differences as a barrier to quality and safety in health care: </w:t>
      </w:r>
    </w:p>
    <w:p>
      <w:pPr>
        <w:pStyle w:val="Body B A"/>
        <w:rPr>
          <w:sz w:val="24"/>
          <w:szCs w:val="24"/>
          <w:rtl w:val="0"/>
        </w:rPr>
      </w:pPr>
      <w:r>
        <w:rPr>
          <w:rFonts w:ascii="Times New Roman" w:cs="Arial Unicode MS" w:hAnsi="Arial Unicode MS" w:eastAsia="Arial Unicode MS"/>
          <w:sz w:val="24"/>
          <w:szCs w:val="24"/>
          <w:rtl w:val="0"/>
        </w:rPr>
        <w:tab/>
        <w:t>The joint commission perspective.</w:t>
      </w:r>
      <w:r>
        <w:rPr>
          <w:rFonts w:ascii="Times New Roman" w:cs="Arial Unicode MS" w:hAnsi="Arial Unicode MS" w:eastAsia="Arial Unicode MS"/>
          <w:i w:val="1"/>
          <w:iCs w:val="1"/>
          <w:sz w:val="24"/>
          <w:szCs w:val="24"/>
          <w:rtl w:val="0"/>
          <w:lang w:val="en-US"/>
        </w:rPr>
        <w:t xml:space="preserve"> Journal of General Internal Medicine</w:t>
      </w:r>
      <w:r>
        <w:rPr>
          <w:rFonts w:ascii="Times New Roman" w:cs="Arial Unicode MS" w:hAnsi="Arial Unicode MS" w:eastAsia="Arial Unicode MS"/>
          <w:sz w:val="24"/>
          <w:szCs w:val="24"/>
          <w:rtl w:val="0"/>
          <w:lang w:val="en-US"/>
        </w:rPr>
        <w:t xml:space="preserve">, 22 Suppl 2, </w:t>
      </w:r>
    </w:p>
    <w:p>
      <w:pPr>
        <w:pStyle w:val="Body B A"/>
        <w:rPr>
          <w:sz w:val="24"/>
          <w:szCs w:val="24"/>
          <w:rtl w:val="0"/>
        </w:rPr>
      </w:pPr>
      <w:r>
        <w:rPr>
          <w:rFonts w:ascii="Times New Roman" w:cs="Arial Unicode MS" w:hAnsi="Arial Unicode MS" w:eastAsia="Arial Unicode MS"/>
          <w:sz w:val="24"/>
          <w:szCs w:val="24"/>
          <w:rtl w:val="0"/>
        </w:rPr>
        <w:tab/>
        <w:t xml:space="preserve">360361. doi:10.1007/s11606-007-0365-3 </w:t>
      </w:r>
    </w:p>
    <w:p>
      <w:pPr>
        <w:pStyle w:val="Body B A"/>
        <w:rPr>
          <w:sz w:val="24"/>
          <w:szCs w:val="24"/>
          <w:rtl w:val="0"/>
        </w:rPr>
      </w:pPr>
      <w:r>
        <w:rPr>
          <w:rFonts w:ascii="Times New Roman" w:cs="Arial Unicode MS" w:hAnsi="Arial Unicode MS" w:eastAsia="Arial Unicode MS"/>
          <w:sz w:val="24"/>
          <w:szCs w:val="24"/>
          <w:rtl w:val="0"/>
          <w:lang w:val="en-US"/>
        </w:rPr>
        <w:t>Snowden, L. R., Masland, M. C., Peng, C. J., Wei-Mien Lou, C., and Wallace, N. T. Limited</w:t>
      </w:r>
    </w:p>
    <w:p>
      <w:pPr>
        <w:pStyle w:val="Body B A"/>
        <w:rPr>
          <w:sz w:val="24"/>
          <w:szCs w:val="24"/>
          <w:rtl w:val="0"/>
        </w:rPr>
      </w:pPr>
      <w:r>
        <w:rPr>
          <w:rFonts w:ascii="Times New Roman" w:cs="Arial Unicode MS" w:hAnsi="Arial Unicode MS" w:eastAsia="Arial Unicode MS"/>
          <w:sz w:val="24"/>
          <w:szCs w:val="24"/>
          <w:rtl w:val="0"/>
        </w:rPr>
        <w:tab/>
        <w:t xml:space="preserve"> English Proficient Asian Americans: Threshold Language Policy and Access to Mental </w:t>
      </w:r>
    </w:p>
    <w:p>
      <w:pPr>
        <w:pStyle w:val="Body B A"/>
        <w:rPr>
          <w:sz w:val="24"/>
          <w:szCs w:val="24"/>
          <w:rtl w:val="0"/>
        </w:rPr>
      </w:pPr>
      <w:r>
        <w:rPr>
          <w:rFonts w:ascii="Times New Roman" w:cs="Arial Unicode MS" w:hAnsi="Arial Unicode MS" w:eastAsia="Arial Unicode MS"/>
          <w:sz w:val="24"/>
          <w:szCs w:val="24"/>
          <w:rtl w:val="0"/>
        </w:rPr>
        <w:tab/>
        <w:t>Health Treatment.</w:t>
      </w:r>
      <w:r>
        <w:rPr>
          <w:rFonts w:ascii="Times New Roman" w:cs="Arial Unicode MS" w:hAnsi="Arial Unicode MS" w:eastAsia="Arial Unicode MS"/>
          <w:i w:val="1"/>
          <w:iCs w:val="1"/>
          <w:sz w:val="24"/>
          <w:szCs w:val="24"/>
          <w:rtl w:val="0"/>
          <w:lang w:val="en-US"/>
        </w:rPr>
        <w:t>Social Science &amp; Medicine</w:t>
      </w:r>
      <w:r>
        <w:rPr>
          <w:rFonts w:ascii="Times New Roman" w:cs="Arial Unicode MS" w:hAnsi="Arial Unicode MS" w:eastAsia="Arial Unicode MS"/>
          <w:sz w:val="24"/>
          <w:szCs w:val="24"/>
          <w:rtl w:val="0"/>
          <w:lang w:val="en-US"/>
        </w:rPr>
        <w:t xml:space="preserve"> 72, 2 (January 2011): 230</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 xml:space="preserve">237. </w:t>
      </w:r>
    </w:p>
    <w:p>
      <w:pPr>
        <w:pStyle w:val="Body B A"/>
        <w:rPr>
          <w:sz w:val="24"/>
          <w:szCs w:val="24"/>
          <w:rtl w:val="0"/>
        </w:rPr>
      </w:pPr>
      <w:r>
        <w:rPr>
          <w:rFonts w:ascii="Times New Roman" w:cs="Arial Unicode MS" w:hAnsi="Arial Unicode MS" w:eastAsia="Arial Unicode MS"/>
          <w:sz w:val="24"/>
          <w:szCs w:val="24"/>
          <w:rtl w:val="0"/>
        </w:rPr>
        <w:tab/>
        <w:t>doi: 10.1016/j.socscimed.2010.10.027. Statistics.</w:t>
      </w:r>
    </w:p>
    <w:p>
      <w:pPr>
        <w:pStyle w:val="Body B A"/>
        <w:rPr>
          <w:sz w:val="24"/>
          <w:szCs w:val="24"/>
          <w:rtl w:val="0"/>
        </w:rPr>
      </w:pPr>
      <w:r>
        <w:rPr>
          <w:rFonts w:ascii="Times New Roman" w:cs="Arial Unicode MS" w:hAnsi="Arial Unicode MS" w:eastAsia="Arial Unicode MS"/>
          <w:sz w:val="24"/>
          <w:szCs w:val="24"/>
          <w:rtl w:val="0"/>
          <w:lang w:val="en-US"/>
        </w:rPr>
        <w:t>Stewart, M. A. (1995). Effective physician-patient communication and health outcomes: A</w:t>
      </w:r>
    </w:p>
    <w:p>
      <w:pPr>
        <w:pStyle w:val="Body B A"/>
        <w:rPr>
          <w:i w:val="1"/>
          <w:iCs w:val="1"/>
        </w:rPr>
      </w:pPr>
      <w:r>
        <w:rPr>
          <w:rFonts w:ascii="Times New Roman" w:cs="Arial Unicode MS" w:hAnsi="Arial Unicode MS" w:eastAsia="Arial Unicode MS"/>
          <w:sz w:val="24"/>
          <w:szCs w:val="24"/>
          <w:rtl w:val="0"/>
        </w:rPr>
        <w:tab/>
        <w:t xml:space="preserve"> review. CMAJ : </w:t>
      </w:r>
      <w:r>
        <w:rPr>
          <w:rFonts w:ascii="Times New Roman" w:cs="Arial Unicode MS" w:hAnsi="Arial Unicode MS" w:eastAsia="Arial Unicode MS"/>
          <w:i w:val="1"/>
          <w:iCs w:val="1"/>
          <w:sz w:val="24"/>
          <w:szCs w:val="24"/>
          <w:rtl w:val="0"/>
          <w:lang w:val="en-US"/>
        </w:rPr>
        <w:t xml:space="preserve">Canadian Medical Association Journal = Journal De l'Association </w:t>
      </w:r>
    </w:p>
    <w:p>
      <w:pPr>
        <w:pStyle w:val="Body B A"/>
        <w:rPr>
          <w:sz w:val="24"/>
          <w:szCs w:val="24"/>
          <w:rtl w:val="0"/>
        </w:rPr>
      </w:pPr>
      <w:r>
        <w:rPr>
          <w:rFonts w:ascii="Times New Roman" w:cs="Arial Unicode MS" w:hAnsi="Arial Unicode MS" w:eastAsia="Arial Unicode MS"/>
          <w:i w:val="1"/>
          <w:iCs w:val="1"/>
          <w:sz w:val="24"/>
          <w:szCs w:val="24"/>
          <w:rtl w:val="0"/>
        </w:rPr>
        <w:tab/>
        <w:t>Medicale Canadienne, 1</w:t>
      </w:r>
      <w:r>
        <w:rPr>
          <w:rFonts w:ascii="Times New Roman" w:cs="Arial Unicode MS" w:hAnsi="Arial Unicode MS" w:eastAsia="Arial Unicode MS"/>
          <w:sz w:val="24"/>
          <w:szCs w:val="24"/>
          <w:rtl w:val="0"/>
          <w:lang w:val="en-US"/>
        </w:rPr>
        <w:t>52(9), 1423-1433.</w:t>
      </w:r>
    </w:p>
    <w:p>
      <w:pPr>
        <w:pStyle w:val="Body B A"/>
        <w:rPr>
          <w:sz w:val="24"/>
          <w:szCs w:val="24"/>
          <w:rtl w:val="0"/>
        </w:rPr>
      </w:pPr>
      <w:r>
        <w:rPr>
          <w:rFonts w:ascii="Times New Roman" w:cs="Arial Unicode MS" w:hAnsi="Arial Unicode MS" w:eastAsia="Arial Unicode MS"/>
          <w:sz w:val="24"/>
          <w:szCs w:val="24"/>
          <w:rtl w:val="0"/>
          <w:lang w:val="en-US"/>
        </w:rPr>
        <w:t xml:space="preserve">Stewart, M., Brown, J. B., Boon, H., Galajda, J., Meredith, L., &amp; Sangster, M. (1999). Evidence </w:t>
      </w:r>
    </w:p>
    <w:p>
      <w:pPr>
        <w:pStyle w:val="Body B A"/>
        <w:rPr>
          <w:sz w:val="24"/>
          <w:szCs w:val="24"/>
          <w:rtl w:val="0"/>
        </w:rPr>
      </w:pPr>
      <w:r>
        <w:rPr>
          <w:rFonts w:ascii="Times New Roman" w:cs="Arial Unicode MS" w:hAnsi="Arial Unicode MS" w:eastAsia="Arial Unicode MS"/>
          <w:sz w:val="24"/>
          <w:szCs w:val="24"/>
          <w:rtl w:val="0"/>
        </w:rPr>
        <w:tab/>
        <w:t>on patient-doctor communication. Cancer Prevention &amp; Control : CPC = Prevention &amp;</w:t>
      </w:r>
    </w:p>
    <w:p>
      <w:pPr>
        <w:pStyle w:val="Body B A"/>
        <w:rPr>
          <w:sz w:val="24"/>
          <w:szCs w:val="24"/>
          <w:rtl w:val="0"/>
        </w:rPr>
      </w:pPr>
      <w:r>
        <w:rPr>
          <w:rFonts w:ascii="Times New Roman" w:cs="Arial Unicode MS" w:hAnsi="Arial Unicode MS" w:eastAsia="Arial Unicode MS"/>
          <w:sz w:val="24"/>
          <w:szCs w:val="24"/>
          <w:rtl w:val="0"/>
        </w:rPr>
        <w:tab/>
        <w:t xml:space="preserve">Controle En Cancerologie : PCC, 3(1), 25-30. </w:t>
      </w:r>
    </w:p>
    <w:p>
      <w:pPr>
        <w:pStyle w:val="Body B A"/>
        <w:rPr>
          <w:sz w:val="24"/>
          <w:szCs w:val="24"/>
          <w:rtl w:val="0"/>
        </w:rPr>
      </w:pPr>
      <w:r>
        <w:rPr>
          <w:rFonts w:ascii="Times New Roman" w:cs="Arial Unicode MS" w:hAnsi="Arial Unicode MS" w:eastAsia="Arial Unicode MS"/>
          <w:sz w:val="24"/>
          <w:szCs w:val="24"/>
          <w:rtl w:val="0"/>
          <w:lang w:val="en-US"/>
        </w:rPr>
        <w:t xml:space="preserve">Stewart, M., Brown, J. B., Donner, A., McWhinney, I. R., Oates, J., Weston, W. W., &amp; Jordan, J. </w:t>
      </w:r>
    </w:p>
    <w:p>
      <w:pPr>
        <w:pStyle w:val="Body B A"/>
        <w:rPr>
          <w:i w:val="1"/>
          <w:iCs w:val="1"/>
        </w:rPr>
      </w:pPr>
      <w:r>
        <w:rPr>
          <w:rFonts w:ascii="Times New Roman" w:cs="Arial Unicode MS" w:hAnsi="Arial Unicode MS" w:eastAsia="Arial Unicode MS"/>
          <w:sz w:val="24"/>
          <w:szCs w:val="24"/>
          <w:rtl w:val="0"/>
        </w:rPr>
        <w:tab/>
        <w:t xml:space="preserve">(2000). The impact of patient-centered care on outcomes. </w:t>
      </w:r>
      <w:r>
        <w:rPr>
          <w:rFonts w:ascii="Times New Roman" w:cs="Arial Unicode MS" w:hAnsi="Arial Unicode MS" w:eastAsia="Arial Unicode MS"/>
          <w:i w:val="1"/>
          <w:iCs w:val="1"/>
          <w:sz w:val="24"/>
          <w:szCs w:val="24"/>
          <w:rtl w:val="0"/>
          <w:lang w:val="en-US"/>
        </w:rPr>
        <w:t xml:space="preserve">The Journal of Family </w:t>
      </w:r>
    </w:p>
    <w:p>
      <w:pPr>
        <w:pStyle w:val="Body B A"/>
        <w:rPr>
          <w:sz w:val="24"/>
          <w:szCs w:val="24"/>
          <w:rtl w:val="0"/>
        </w:rPr>
      </w:pPr>
      <w:r>
        <w:rPr>
          <w:rFonts w:ascii="Times New Roman" w:cs="Arial Unicode MS" w:hAnsi="Arial Unicode MS" w:eastAsia="Arial Unicode MS"/>
          <w:i w:val="1"/>
          <w:iCs w:val="1"/>
          <w:sz w:val="24"/>
          <w:szCs w:val="24"/>
          <w:rtl w:val="0"/>
        </w:rPr>
        <w:tab/>
        <w:t>Practice</w:t>
      </w:r>
      <w:r>
        <w:rPr>
          <w:rFonts w:ascii="Times New Roman" w:cs="Arial Unicode MS" w:hAnsi="Arial Unicode MS" w:eastAsia="Arial Unicode MS"/>
          <w:sz w:val="24"/>
          <w:szCs w:val="24"/>
          <w:rtl w:val="0"/>
          <w:lang w:val="en-US"/>
        </w:rPr>
        <w:t xml:space="preserve">, 49(9), 796-804. </w:t>
      </w:r>
    </w:p>
    <w:p>
      <w:pPr>
        <w:pStyle w:val="Body B A"/>
        <w:rPr>
          <w:sz w:val="24"/>
          <w:szCs w:val="24"/>
          <w:rtl w:val="0"/>
        </w:rPr>
      </w:pPr>
      <w:r>
        <w:rPr>
          <w:rFonts w:ascii="Times New Roman" w:cs="Arial Unicode MS" w:hAnsi="Arial Unicode MS" w:eastAsia="Arial Unicode MS"/>
          <w:sz w:val="24"/>
          <w:szCs w:val="24"/>
          <w:rtl w:val="0"/>
          <w:lang w:val="en-US"/>
        </w:rPr>
        <w:t>Teutsch, C. (2003). Patient-doctor communication.</w:t>
      </w:r>
      <w:r>
        <w:rPr>
          <w:rFonts w:ascii="Times New Roman" w:cs="Arial Unicode MS" w:hAnsi="Arial Unicode MS" w:eastAsia="Arial Unicode MS"/>
          <w:i w:val="1"/>
          <w:iCs w:val="1"/>
          <w:sz w:val="24"/>
          <w:szCs w:val="24"/>
          <w:rtl w:val="0"/>
          <w:lang w:val="en-US"/>
        </w:rPr>
        <w:t xml:space="preserve"> The Medical Clinics of North America</w:t>
      </w:r>
      <w:r>
        <w:rPr>
          <w:rFonts w:ascii="Times New Roman" w:cs="Arial Unicode MS" w:hAnsi="Arial Unicode MS" w:eastAsia="Arial Unicode MS"/>
          <w:sz w:val="24"/>
          <w:szCs w:val="24"/>
          <w:rtl w:val="0"/>
          <w:lang w:val="en-US"/>
        </w:rPr>
        <w:t>, 87(5),</w:t>
      </w:r>
    </w:p>
    <w:p>
      <w:pPr>
        <w:pStyle w:val="Body B A"/>
        <w:rPr>
          <w:sz w:val="24"/>
          <w:szCs w:val="24"/>
          <w:rtl w:val="0"/>
        </w:rPr>
      </w:pPr>
      <w:r>
        <w:rPr>
          <w:rFonts w:ascii="Times New Roman" w:cs="Arial Unicode MS" w:hAnsi="Arial Unicode MS" w:eastAsia="Arial Unicode MS"/>
          <w:sz w:val="24"/>
          <w:szCs w:val="24"/>
          <w:rtl w:val="0"/>
        </w:rPr>
        <w:tab/>
        <w:t xml:space="preserve"> 1115-1145.</w:t>
      </w:r>
    </w:p>
    <w:p>
      <w:pPr>
        <w:pStyle w:val="Body B A"/>
        <w:rPr>
          <w:sz w:val="24"/>
          <w:szCs w:val="24"/>
          <w:rtl w:val="0"/>
        </w:rPr>
      </w:pPr>
      <w:r>
        <w:rPr>
          <w:rFonts w:ascii="Times New Roman" w:cs="Arial Unicode MS" w:hAnsi="Arial Unicode MS" w:eastAsia="Arial Unicode MS"/>
          <w:sz w:val="24"/>
          <w:szCs w:val="24"/>
          <w:rtl w:val="0"/>
          <w:lang w:val="en-US"/>
        </w:rPr>
        <w:t xml:space="preserve">Traylor, A. H., Schmittdiel, J. A., Uratsu, C. S., Mangione, C. M., &amp; Subramanian, U. (2010). </w:t>
      </w:r>
    </w:p>
    <w:p>
      <w:pPr>
        <w:pStyle w:val="Body B A"/>
        <w:rPr>
          <w:sz w:val="24"/>
          <w:szCs w:val="24"/>
          <w:rtl w:val="0"/>
        </w:rPr>
      </w:pPr>
      <w:r>
        <w:rPr>
          <w:rFonts w:ascii="Times New Roman" w:cs="Arial Unicode MS" w:hAnsi="Arial Unicode MS" w:eastAsia="Arial Unicode MS"/>
          <w:sz w:val="24"/>
          <w:szCs w:val="24"/>
          <w:rtl w:val="0"/>
        </w:rPr>
        <w:tab/>
        <w:t xml:space="preserve">Adherence to cardiovascular disease medications: Does patient-provider race/ethnicity </w:t>
      </w:r>
    </w:p>
    <w:p>
      <w:pPr>
        <w:pStyle w:val="Body B A"/>
        <w:rPr>
          <w:sz w:val="24"/>
          <w:szCs w:val="24"/>
          <w:rtl w:val="0"/>
        </w:rPr>
      </w:pPr>
      <w:r>
        <w:rPr>
          <w:rFonts w:ascii="Times New Roman" w:cs="Arial Unicode MS" w:hAnsi="Arial Unicode MS" w:eastAsia="Arial Unicode MS"/>
          <w:sz w:val="24"/>
          <w:szCs w:val="24"/>
          <w:rtl w:val="0"/>
        </w:rPr>
        <w:tab/>
        <w:t xml:space="preserve">and language concordance matter? </w:t>
      </w:r>
      <w:r>
        <w:rPr>
          <w:rFonts w:ascii="Times New Roman" w:cs="Arial Unicode MS" w:hAnsi="Arial Unicode MS" w:eastAsia="Arial Unicode MS"/>
          <w:i w:val="1"/>
          <w:iCs w:val="1"/>
          <w:sz w:val="24"/>
          <w:szCs w:val="24"/>
          <w:rtl w:val="0"/>
          <w:lang w:val="en-US"/>
        </w:rPr>
        <w:t>Journal of General Internal Medicine,</w:t>
      </w:r>
      <w:r>
        <w:rPr>
          <w:rFonts w:ascii="Times New Roman" w:cs="Arial Unicode MS" w:hAnsi="Arial Unicode MS" w:eastAsia="Arial Unicode MS"/>
          <w:sz w:val="24"/>
          <w:szCs w:val="24"/>
          <w:rtl w:val="0"/>
          <w:lang w:val="en-US"/>
        </w:rPr>
        <w:t xml:space="preserve"> 25(11), </w:t>
      </w:r>
    </w:p>
    <w:p>
      <w:pPr>
        <w:pStyle w:val="Body B A"/>
        <w:rPr>
          <w:sz w:val="24"/>
          <w:szCs w:val="24"/>
          <w:rtl w:val="0"/>
        </w:rPr>
      </w:pPr>
      <w:r>
        <w:rPr>
          <w:rFonts w:ascii="Times New Roman" w:cs="Arial Unicode MS" w:hAnsi="Arial Unicode MS" w:eastAsia="Arial Unicode MS"/>
          <w:sz w:val="24"/>
          <w:szCs w:val="24"/>
          <w:rtl w:val="0"/>
        </w:rPr>
        <w:tab/>
        <w:t>1172-1177. doi:10.1007/s11606-010-1424-8; 10.1007/s11606-010-1424-8</w:t>
      </w:r>
    </w:p>
    <w:p>
      <w:pPr>
        <w:pStyle w:val="Body B A"/>
        <w:rPr>
          <w:sz w:val="24"/>
          <w:szCs w:val="24"/>
          <w:rtl w:val="0"/>
        </w:rPr>
      </w:pPr>
      <w:r>
        <w:rPr>
          <w:rFonts w:ascii="Times New Roman" w:cs="Arial Unicode MS" w:hAnsi="Arial Unicode MS" w:eastAsia="Arial Unicode MS"/>
          <w:sz w:val="24"/>
          <w:szCs w:val="24"/>
          <w:rtl w:val="0"/>
          <w:lang w:val="en-US"/>
        </w:rPr>
        <w:t xml:space="preserve">Wilson, E., Chen, A. H., Grumbach, K., Wang, F., &amp; Fernandez, A. (2005). Effects of limited </w:t>
      </w:r>
    </w:p>
    <w:p>
      <w:pPr>
        <w:pStyle w:val="Body B A"/>
        <w:rPr>
          <w:i w:val="1"/>
          <w:iCs w:val="1"/>
        </w:rPr>
      </w:pPr>
      <w:r>
        <w:rPr>
          <w:rFonts w:ascii="Times New Roman" w:cs="Arial Unicode MS" w:hAnsi="Arial Unicode MS" w:eastAsia="Arial Unicode MS"/>
          <w:sz w:val="24"/>
          <w:szCs w:val="24"/>
          <w:rtl w:val="0"/>
        </w:rPr>
        <w:tab/>
        <w:t>english proficiency and physician language on health care comprehension.</w:t>
      </w:r>
      <w:r>
        <w:rPr>
          <w:rFonts w:ascii="Times New Roman" w:cs="Arial Unicode MS" w:hAnsi="Arial Unicode MS" w:eastAsia="Arial Unicode MS"/>
          <w:i w:val="1"/>
          <w:iCs w:val="1"/>
          <w:sz w:val="24"/>
          <w:szCs w:val="24"/>
          <w:rtl w:val="0"/>
          <w:lang w:val="en-US"/>
        </w:rPr>
        <w:t xml:space="preserve"> Journal of </w:t>
      </w:r>
    </w:p>
    <w:p>
      <w:pPr>
        <w:pStyle w:val="Body B A"/>
        <w:rPr>
          <w:sz w:val="24"/>
          <w:szCs w:val="24"/>
          <w:rtl w:val="0"/>
        </w:rPr>
      </w:pPr>
      <w:r>
        <w:rPr>
          <w:rFonts w:ascii="Times New Roman" w:cs="Arial Unicode MS" w:hAnsi="Arial Unicode MS" w:eastAsia="Arial Unicode MS"/>
          <w:i w:val="1"/>
          <w:iCs w:val="1"/>
          <w:sz w:val="24"/>
          <w:szCs w:val="24"/>
          <w:rtl w:val="0"/>
        </w:rPr>
        <w:tab/>
        <w:t>General Internal Medicine</w:t>
      </w:r>
      <w:r>
        <w:rPr>
          <w:rFonts w:ascii="Times New Roman" w:cs="Arial Unicode MS" w:hAnsi="Arial Unicode MS" w:eastAsia="Arial Unicode MS"/>
          <w:sz w:val="24"/>
          <w:szCs w:val="24"/>
          <w:rtl w:val="0"/>
          <w:lang w:val="en-US"/>
        </w:rPr>
        <w:t>, 20(9), 800-806. doi:10.1111/j.1525-1497.2005.0174.x</w:t>
      </w:r>
    </w:p>
    <w:p>
      <w:pPr>
        <w:pStyle w:val="Body B A"/>
        <w:rPr>
          <w:sz w:val="24"/>
          <w:szCs w:val="24"/>
          <w:rtl w:val="0"/>
        </w:rPr>
      </w:pPr>
      <w:r>
        <w:rPr>
          <w:rFonts w:ascii="Times New Roman" w:cs="Arial Unicode MS" w:hAnsi="Arial Unicode MS" w:eastAsia="Arial Unicode MS"/>
          <w:sz w:val="24"/>
          <w:szCs w:val="24"/>
          <w:rtl w:val="0"/>
          <w:lang w:val="en-US"/>
        </w:rPr>
        <w:t>Yeo, S.(2004). Language Barriers and Access to Care.</w:t>
      </w:r>
      <w:r>
        <w:rPr>
          <w:rFonts w:ascii="Times New Roman" w:cs="Arial Unicode MS" w:hAnsi="Arial Unicode MS" w:eastAsia="Arial Unicode MS"/>
          <w:i w:val="1"/>
          <w:iCs w:val="1"/>
          <w:sz w:val="24"/>
          <w:szCs w:val="24"/>
          <w:rtl w:val="0"/>
          <w:lang w:val="en-US"/>
        </w:rPr>
        <w:t>Annual Review of Nursing Research</w:t>
      </w:r>
      <w:r>
        <w:rPr>
          <w:rFonts w:ascii="Times New Roman" w:cs="Arial Unicode MS" w:hAnsi="Arial Unicode MS" w:eastAsia="Arial Unicode MS"/>
          <w:sz w:val="24"/>
          <w:szCs w:val="24"/>
          <w:rtl w:val="0"/>
          <w:lang w:val="en-US"/>
        </w:rPr>
        <w:t xml:space="preserve"> 22 (2004): 59</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73.</w:t>
      </w:r>
    </w:p>
    <w:p>
      <w:pPr>
        <w:pStyle w:val="Body B A"/>
        <w:tabs>
          <w:tab w:val="left" w:pos="2520"/>
        </w:tabs>
      </w:pPr>
      <w:r>
        <w:rPr>
          <w:sz w:val="24"/>
          <w:szCs w:val="24"/>
          <w:rtl w:val="0"/>
        </w:rPr>
        <w:tab/>
      </w:r>
    </w:p>
    <w:sectPr>
      <w:headerReference w:type="default" r:id="rId11"/>
      <w:footerReference w:type="default" r:id="rId12"/>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 w:name="Times New Roman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9340"/>
        <w:tab w:val="clear" w:pos="9360"/>
      </w:tabs>
    </w:pPr>
    <w:r>
      <w:rPr>
        <w:sz w:val="22"/>
        <w:szCs w:val="22"/>
        <w:rtl w:val="0"/>
      </w:rPr>
      <w:fldChar w:fldCharType="begin" w:fldLock="0"/>
    </w:r>
    <w:r>
      <w:rPr>
        <w:sz w:val="22"/>
        <w:szCs w:val="22"/>
        <w:rtl w:val="0"/>
      </w:rPr>
      <w:t xml:space="preserve"> PAGE </w:t>
    </w:r>
    <w:r>
      <w:rPr>
        <w:sz w:val="22"/>
        <w:szCs w:val="22"/>
        <w:rtl w:val="0"/>
      </w:rPr>
      <w:fldChar w:fldCharType="separate" w:fldLock="0"/>
    </w:r>
    <w:r>
      <w:rPr>
        <w:sz w:val="22"/>
        <w:szCs w:val="22"/>
        <w:rtl w:val="0"/>
      </w:rPr>
      <w:t>13</w:t>
    </w:r>
    <w:r>
      <w:rPr>
        <w:sz w:val="22"/>
        <w:szCs w:val="22"/>
        <w:rtl w:val="0"/>
      </w:rPr>
      <w:fldChar w:fldCharType="end" w:fldLock="0"/>
    </w:r>
    <w:r>
      <w:rPr>
        <w:rFonts w:ascii="Calibri" w:cs="Calibri" w:hAnsi="Calibri" w:eastAsia="Calibri"/>
        <w:b w:val="1"/>
        <w:bCs w:val="1"/>
        <w:sz w:val="22"/>
        <w:szCs w:val="22"/>
        <w:rtl w:val="0"/>
        <w:lang w:val="en-US"/>
      </w:rPr>
      <w:t xml:space="preserve"> | </w:t>
    </w:r>
    <w:r>
      <w:rPr>
        <w:rFonts w:ascii="Trebuchet MS"/>
        <w:color w:val="7f7f7f"/>
        <w:sz w:val="22"/>
        <w:szCs w:val="22"/>
        <w:u w:color="7f7f7f"/>
        <w:rtl w:val="0"/>
        <w:lang w:val="pt-PT"/>
      </w:rPr>
      <w:t>Page</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Table Style 2 A">
    <w:name w:val="Table Style 2 A"/>
    <w:next w:val="Table Style 2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Body B">
    <w:name w:val="Body B"/>
    <w:next w:val="Body B"/>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B A">
    <w:name w:val="Body B A"/>
    <w:next w:val="Body B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one">
    <w:name w:val="None"/>
  </w:style>
  <w:style w:type="character" w:styleId="Hyperlink.0">
    <w:name w:val="Hyperlink.0"/>
    <w:basedOn w:val="None"/>
    <w:next w:val="Hyperlink.0"/>
    <w:rPr>
      <w:sz w:val="24"/>
      <w:szCs w:val="24"/>
      <w:u w:val="single"/>
      <w:lang w:val="de-DE"/>
    </w:rPr>
  </w:style>
  <w:style w:type="character" w:styleId="Hyperlink.1">
    <w:name w:val="Hyperlink.1"/>
    <w:basedOn w:val="None"/>
    <w:next w:val="Hyperlink.1"/>
    <w:rPr>
      <w:sz w:val="24"/>
      <w:szCs w:val="24"/>
      <w:u w:val="single" w:color="0563c1"/>
      <w:lang w:val="en-US"/>
    </w:rPr>
  </w:style>
  <w:style w:type="character" w:styleId="Hyperlink.2">
    <w:name w:val="Hyperlink.2"/>
    <w:basedOn w:val="None"/>
    <w:next w:val="Hyperlink.2"/>
    <w:rPr>
      <w:sz w:val="24"/>
      <w:szCs w:val="24"/>
      <w:u w:val="singl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chart" Target="charts/chart1.xml"/><Relationship Id="rId7" Type="http://schemas.openxmlformats.org/officeDocument/2006/relationships/chart" Target="charts/chart2.xml"/><Relationship Id="rId8" Type="http://schemas.openxmlformats.org/officeDocument/2006/relationships/hyperlink" Target="http://www.hc-sc.gc.ca/hcssss/pubs/acces/2001-lang-acces/index-eng.php" TargetMode="External"/><Relationship Id="rId9" Type="http://schemas.openxmlformats.org/officeDocument/2006/relationships/hyperlink" Target="http://www.health.wa.gov.au/circularsnew/pdfs/13359.pdf" TargetMode="External"/><Relationship Id="rId10" Type="http://schemas.openxmlformats.org/officeDocument/2006/relationships/hyperlink" Target="http://www.scopus.com/inward/record.url?eid=2-s2.029344456174&amp;partner"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theme" Target="theme/theme1.xml"/></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Relationships xmlns="http://schemas.openxmlformats.org/package/2006/relationships"><Relationship Id="rId1" Type="http://schemas.openxmlformats.org/officeDocument/2006/relationships/package" Target="../embeddings/Microsoft_Excel_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roundedCorners val="0"/>
  <c:chart>
    <c:title>
      <c:tx>
        <c:rich>
          <a:bodyPr rot="0"/>
          <a:lstStyle/>
          <a:p>
            <a:pPr lvl="0"/>
          </a:p>
        </c:rich>
      </c:tx>
      <c:layout/>
      <c:overlay val="1"/>
    </c:title>
    <c:autoTitleDeleted val="1"/>
    <c:plotArea>
      <c:layout>
        <c:manualLayout>
          <c:layoutTarget val="inner"/>
          <c:xMode val="edge"/>
          <c:yMode val="edge"/>
          <c:x val="0.0778696"/>
          <c:y val="0.178503"/>
          <c:w val="0.280498"/>
          <c:h val="0.642994"/>
        </c:manualLayout>
      </c:layout>
      <c:pieChart>
        <c:varyColors val="0"/>
        <c:ser>
          <c:idx val="0"/>
          <c:order val="0"/>
          <c:tx>
            <c:strRef>
              <c:f>Sheet1!$A$2</c:f>
              <c:strCache>
                <c:pt idx="0">
                  <c:v/>
                </c:pt>
              </c:strCache>
            </c:strRef>
          </c:tx>
          <c:spPr>
            <a:solidFill>
              <a:srgbClr val="5B9BD5"/>
            </a:solidFill>
            <a:ln w="12700" cap="flat">
              <a:noFill/>
              <a:miter lim="400000"/>
            </a:ln>
            <a:effectLst>
              <a:outerShdw sx="100000" sy="100000" kx="0" ky="0" algn="tl" rotWithShape="1" blurRad="254000" dist="0" dir="0">
                <a:srgbClr val="000000">
                  <a:alpha val="20000"/>
                </a:srgbClr>
              </a:outerShdw>
            </a:effectLst>
          </c:spPr>
          <c:explosion val="0"/>
          <c:dPt>
            <c:idx val="0"/>
            <c:explosion val="0"/>
            <c:spPr>
              <a:solidFill>
                <a:srgbClr val="5B9BD5"/>
              </a:solidFill>
              <a:ln w="12700" cap="flat">
                <a:noFill/>
                <a:miter lim="400000"/>
              </a:ln>
              <a:effectLst>
                <a:outerShdw sx="100000" sy="100000" kx="0" ky="0" algn="tl" rotWithShape="1" blurRad="254000" dist="0" dir="0">
                  <a:srgbClr val="000000">
                    <a:alpha val="20000"/>
                  </a:srgbClr>
                </a:outerShdw>
              </a:effectLst>
            </c:spPr>
          </c:dPt>
          <c:dPt>
            <c:idx val="1"/>
            <c:explosion val="0"/>
            <c:spPr>
              <a:solidFill>
                <a:srgbClr val="ED7D31"/>
              </a:solidFill>
              <a:ln w="12700" cap="flat">
                <a:noFill/>
                <a:miter lim="400000"/>
              </a:ln>
              <a:effectLst>
                <a:outerShdw sx="100000" sy="100000" kx="0" ky="0" algn="tl" rotWithShape="1" blurRad="254000" dist="0" dir="0">
                  <a:srgbClr val="000000">
                    <a:alpha val="20000"/>
                  </a:srgbClr>
                </a:outerShdw>
              </a:effectLst>
            </c:spPr>
          </c:dPt>
          <c:dPt>
            <c:idx val="2"/>
            <c:explosion val="0"/>
            <c:spPr>
              <a:solidFill>
                <a:srgbClr val="A5A5A5"/>
              </a:solidFill>
              <a:ln w="12700" cap="flat">
                <a:noFill/>
                <a:miter lim="400000"/>
              </a:ln>
              <a:effectLst>
                <a:outerShdw sx="100000" sy="100000" kx="0" ky="0" algn="tl" rotWithShape="1" blurRad="254000" dist="0" dir="0">
                  <a:srgbClr val="000000">
                    <a:alpha val="20000"/>
                  </a:srgbClr>
                </a:outerShdw>
              </a:effectLst>
            </c:spPr>
          </c:dPt>
          <c:dPt>
            <c:idx val="3"/>
            <c:explosion val="0"/>
            <c:spPr>
              <a:solidFill>
                <a:srgbClr val="FFC000"/>
              </a:solidFill>
              <a:ln w="12700" cap="flat">
                <a:noFill/>
                <a:miter lim="400000"/>
              </a:ln>
              <a:effectLst>
                <a:outerShdw sx="100000" sy="100000" kx="0" ky="0" algn="tl" rotWithShape="1" blurRad="254000" dist="0" dir="0">
                  <a:srgbClr val="000000">
                    <a:alpha val="20000"/>
                  </a:srgbClr>
                </a:outerShdw>
              </a:effectLst>
            </c:spPr>
          </c:dPt>
          <c:dLbls>
            <c:dLbl>
              <c:idx val="0"/>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ctr"/>
              <c:showLegendKey val="0"/>
              <c:showVal val="0"/>
              <c:showCatName val="0"/>
              <c:showSerName val="0"/>
              <c:showPercent val="1"/>
              <c:showBubbleSize val="0"/>
            </c:dLbl>
            <c:dLbl>
              <c:idx val="1"/>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outEnd"/>
              <c:showLegendKey val="0"/>
              <c:showVal val="0"/>
              <c:showCatName val="0"/>
              <c:showSerName val="0"/>
              <c:showPercent val="1"/>
              <c:showBubbleSize val="0"/>
            </c:dLbl>
            <c:dLbl>
              <c:idx val="2"/>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ctr"/>
              <c:showLegendKey val="0"/>
              <c:showVal val="0"/>
              <c:showCatName val="0"/>
              <c:showSerName val="0"/>
              <c:showPercent val="1"/>
              <c:showBubbleSize val="0"/>
            </c:dLbl>
            <c:dLbl>
              <c:idx val="3"/>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ctr"/>
              <c:showLegendKey val="0"/>
              <c:showVal val="0"/>
              <c:showCatName val="0"/>
              <c:showSerName val="0"/>
              <c:showPercent val="1"/>
              <c:showBubbleSize val="0"/>
            </c:dLbl>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ctr"/>
            <c:showLegendKey val="0"/>
            <c:showVal val="0"/>
            <c:showCatName val="0"/>
            <c:showSerName val="0"/>
            <c:showPercent val="1"/>
            <c:showBubbleSize val="0"/>
            <c:showLeaderLines val="0"/>
          </c:dLbls>
          <c:cat>
            <c:strRef>
              <c:f>Sheet1!$B$1:$E$1</c:f>
              <c:strCache>
                <c:ptCount val="4"/>
                <c:pt idx="0">
                  <c:v>Non response</c:v>
                </c:pt>
                <c:pt idx="1">
                  <c:v>Ghanaian language and English</c:v>
                </c:pt>
                <c:pt idx="2">
                  <c:v>Ghanaian language</c:v>
                </c:pt>
                <c:pt idx="3">
                  <c:v>English language</c:v>
                </c:pt>
              </c:strCache>
            </c:strRef>
          </c:cat>
          <c:val>
            <c:numRef>
              <c:f>Sheet1!$B$2:$E$2</c:f>
              <c:numCache>
                <c:ptCount val="4"/>
                <c:pt idx="0">
                  <c:v>26.000000</c:v>
                </c:pt>
                <c:pt idx="1">
                  <c:v>5.000000</c:v>
                </c:pt>
                <c:pt idx="2">
                  <c:v>23.000000</c:v>
                </c:pt>
                <c:pt idx="3">
                  <c:v>96.000000</c:v>
                </c:pt>
              </c:numCache>
            </c:numRef>
          </c:val>
        </c:ser>
        <c:firstSliceAng val="0"/>
      </c:pieChart>
      <c:spPr>
        <a:noFill/>
        <a:ln w="12700" cap="flat">
          <a:noFill/>
          <a:miter lim="400000"/>
        </a:ln>
        <a:effectLst/>
      </c:spPr>
    </c:plotArea>
    <c:legend>
      <c:legendPos val="r"/>
      <c:layout>
        <c:manualLayout>
          <c:xMode val="edge"/>
          <c:yMode val="edge"/>
          <c:x val="0.4209"/>
          <c:y val="0.299676"/>
          <c:w val="0.5791"/>
          <c:h val="0.396489"/>
        </c:manualLayout>
      </c:layout>
      <c:overlay val="1"/>
      <c:spPr>
        <a:solidFill>
          <a:srgbClr val="F2F2F2">
            <a:alpha val="39000"/>
          </a:srgbClr>
        </a:solidFill>
        <a:ln w="12700" cap="flat">
          <a:noFill/>
          <a:miter lim="400000"/>
        </a:ln>
        <a:effectLst/>
      </c:spPr>
      <c:txPr>
        <a:bodyPr/>
        <a:lstStyle/>
        <a:p>
          <a:pPr lvl="0">
            <a:defRPr b="0" i="0" strike="noStrike" sz="900" u="none">
              <a:solidFill>
                <a:srgbClr val="404040"/>
              </a:solidFill>
              <a:effectLst/>
              <a:latin typeface="Helvetica"/>
            </a:defRPr>
          </a:pPr>
        </a:p>
      </c:txPr>
    </c:legend>
    <c:plotVisOnly val="1"/>
    <c:dispBlanksAs val="gap"/>
  </c:chart>
  <c:spPr>
    <a:gradFill flip="none" rotWithShape="1">
      <a:gsLst>
        <a:gs pos="0">
          <a:srgbClr val="FFFFFF"/>
        </a:gs>
        <a:gs pos="39000">
          <a:srgbClr val="FFFFFF"/>
        </a:gs>
        <a:gs pos="100000">
          <a:srgbClr val="BFBFBF"/>
        </a:gs>
      </a:gsLst>
      <a:path path="circle">
        <a:fillToRect l="37721" t="-19636" r="62278" b="119636"/>
      </a:path>
    </a:gradFill>
    <a:ln w="9525" cap="flat">
      <a:solidFill>
        <a:srgbClr val="BFBFBF"/>
      </a:solidFill>
      <a:prstDash val="solid"/>
      <a:round/>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roundedCorners val="0"/>
  <c:chart>
    <c:title>
      <c:tx>
        <c:rich>
          <a:bodyPr rot="0"/>
          <a:lstStyle/>
          <a:p>
            <a:pPr lvl="0"/>
          </a:p>
        </c:rich>
      </c:tx>
      <c:layout/>
      <c:overlay val="1"/>
    </c:title>
    <c:autoTitleDeleted val="1"/>
    <c:plotArea>
      <c:layout>
        <c:manualLayout>
          <c:layoutTarget val="inner"/>
          <c:xMode val="edge"/>
          <c:yMode val="edge"/>
          <c:x val="0.0709643"/>
          <c:y val="0.137772"/>
          <c:w val="0.373158"/>
          <c:h val="0.724457"/>
        </c:manualLayout>
      </c:layout>
      <c:pieChart>
        <c:varyColors val="0"/>
        <c:ser>
          <c:idx val="0"/>
          <c:order val="0"/>
          <c:tx>
            <c:strRef>
              <c:f>Sheet1!$A$2</c:f>
              <c:strCache>
                <c:pt idx="0">
                  <c:v/>
                </c:pt>
              </c:strCache>
            </c:strRef>
          </c:tx>
          <c:spPr>
            <a:solidFill>
              <a:srgbClr val="5B9BD5"/>
            </a:solidFill>
            <a:ln w="12700" cap="flat">
              <a:noFill/>
              <a:miter lim="400000"/>
            </a:ln>
            <a:effectLst>
              <a:outerShdw sx="100000" sy="100000" kx="0" ky="0" algn="tl" rotWithShape="1" blurRad="254000" dist="0" dir="0">
                <a:srgbClr val="000000">
                  <a:alpha val="20000"/>
                </a:srgbClr>
              </a:outerShdw>
            </a:effectLst>
          </c:spPr>
          <c:explosion val="0"/>
          <c:dPt>
            <c:idx val="0"/>
            <c:explosion val="0"/>
            <c:spPr>
              <a:solidFill>
                <a:srgbClr val="5B9BD5"/>
              </a:solidFill>
              <a:ln w="12700" cap="flat">
                <a:noFill/>
                <a:miter lim="400000"/>
              </a:ln>
              <a:effectLst>
                <a:outerShdw sx="100000" sy="100000" kx="0" ky="0" algn="tl" rotWithShape="1" blurRad="254000" dist="0" dir="0">
                  <a:srgbClr val="000000">
                    <a:alpha val="20000"/>
                  </a:srgbClr>
                </a:outerShdw>
              </a:effectLst>
            </c:spPr>
          </c:dPt>
          <c:dPt>
            <c:idx val="1"/>
            <c:explosion val="0"/>
            <c:spPr>
              <a:solidFill>
                <a:srgbClr val="ED7D31"/>
              </a:solidFill>
              <a:ln w="12700" cap="flat">
                <a:noFill/>
                <a:miter lim="400000"/>
              </a:ln>
              <a:effectLst>
                <a:outerShdw sx="100000" sy="100000" kx="0" ky="0" algn="tl" rotWithShape="1" blurRad="254000" dist="0" dir="0">
                  <a:srgbClr val="000000">
                    <a:alpha val="20000"/>
                  </a:srgbClr>
                </a:outerShdw>
              </a:effectLst>
            </c:spPr>
          </c:dPt>
          <c:dPt>
            <c:idx val="2"/>
            <c:explosion val="0"/>
            <c:spPr>
              <a:solidFill>
                <a:srgbClr val="A5A5A5"/>
              </a:solidFill>
              <a:ln w="12700" cap="flat">
                <a:noFill/>
                <a:miter lim="400000"/>
              </a:ln>
              <a:effectLst>
                <a:outerShdw sx="100000" sy="100000" kx="0" ky="0" algn="tl" rotWithShape="1" blurRad="254000" dist="0" dir="0">
                  <a:srgbClr val="000000">
                    <a:alpha val="20000"/>
                  </a:srgbClr>
                </a:outerShdw>
              </a:effectLst>
            </c:spPr>
          </c:dPt>
          <c:dPt>
            <c:idx val="3"/>
            <c:explosion val="0"/>
            <c:spPr>
              <a:solidFill>
                <a:srgbClr val="FFC000"/>
              </a:solidFill>
              <a:ln w="12700" cap="flat">
                <a:noFill/>
                <a:miter lim="400000"/>
              </a:ln>
              <a:effectLst>
                <a:outerShdw sx="100000" sy="100000" kx="0" ky="0" algn="tl" rotWithShape="1" blurRad="254000" dist="0" dir="0">
                  <a:srgbClr val="000000">
                    <a:alpha val="20000"/>
                  </a:srgbClr>
                </a:outerShdw>
              </a:effectLst>
            </c:spPr>
          </c:dPt>
          <c:dPt>
            <c:idx val="4"/>
            <c:explosion val="0"/>
            <c:spPr>
              <a:solidFill>
                <a:srgbClr val="4472C4"/>
              </a:solidFill>
              <a:ln w="12700" cap="flat">
                <a:noFill/>
                <a:miter lim="400000"/>
              </a:ln>
              <a:effectLst>
                <a:outerShdw sx="100000" sy="100000" kx="0" ky="0" algn="tl" rotWithShape="1" blurRad="254000" dist="0" dir="0">
                  <a:srgbClr val="000000">
                    <a:alpha val="20000"/>
                  </a:srgbClr>
                </a:outerShdw>
              </a:effectLst>
            </c:spPr>
          </c:dPt>
          <c:dLbls>
            <c:dLbl>
              <c:idx val="0"/>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inEnd"/>
              <c:showLegendKey val="0"/>
              <c:showVal val="0"/>
              <c:showCatName val="0"/>
              <c:showSerName val="0"/>
              <c:showPercent val="1"/>
              <c:showBubbleSize val="0"/>
            </c:dLbl>
            <c:dLbl>
              <c:idx val="1"/>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outEnd"/>
              <c:showLegendKey val="0"/>
              <c:showVal val="0"/>
              <c:showCatName val="0"/>
              <c:showSerName val="0"/>
              <c:showPercent val="1"/>
              <c:showBubbleSize val="0"/>
            </c:dLbl>
            <c:dLbl>
              <c:idx val="2"/>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inEnd"/>
              <c:showLegendKey val="0"/>
              <c:showVal val="0"/>
              <c:showCatName val="0"/>
              <c:showSerName val="0"/>
              <c:showPercent val="1"/>
              <c:showBubbleSize val="0"/>
            </c:dLbl>
            <c:dLbl>
              <c:idx val="3"/>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inEnd"/>
              <c:showLegendKey val="0"/>
              <c:showVal val="0"/>
              <c:showCatName val="0"/>
              <c:showSerName val="0"/>
              <c:showPercent val="1"/>
              <c:showBubbleSize val="0"/>
            </c:dLbl>
            <c:dLbl>
              <c:idx val="4"/>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outEnd"/>
              <c:showLegendKey val="0"/>
              <c:showVal val="0"/>
              <c:showCatName val="0"/>
              <c:showSerName val="0"/>
              <c:showPercent val="1"/>
              <c:showBubbleSize val="0"/>
            </c:dLbl>
            <c:numFmt formatCode="0%" sourceLinked="0"/>
            <c:txPr>
              <a:bodyPr/>
              <a:lstStyle/>
              <a:p>
                <a:pPr lvl="0">
                  <a:defRPr b="1" i="0" strike="noStrike" sz="1000" u="none">
                    <a:solidFill>
                      <a:srgbClr val="FFFFFF"/>
                    </a:solidFill>
                    <a:effectLst/>
                    <a:latin typeface="Helvetica"/>
                  </a:defRPr>
                </a:pPr>
                <a:r>
                  <a:rPr b="1" i="0" strike="noStrike" sz="1000" u="none">
                    <a:solidFill>
                      <a:srgbClr val="FFFFFF"/>
                    </a:solidFill>
                    <a:effectLst/>
                    <a:latin typeface="Helvetica"/>
                  </a:rPr>
                  <a:t/>
                </a:r>
              </a:p>
            </c:txPr>
            <c:dLblPos val="inEnd"/>
            <c:showLegendKey val="0"/>
            <c:showVal val="0"/>
            <c:showCatName val="0"/>
            <c:showSerName val="0"/>
            <c:showPercent val="1"/>
            <c:showBubbleSize val="0"/>
            <c:showLeaderLines val="0"/>
          </c:dLbls>
          <c:cat>
            <c:strRef>
              <c:f>Sheet1!$B$1:$F$1</c:f>
              <c:strCache>
                <c:ptCount val="5"/>
                <c:pt idx="0">
                  <c:v>Not sure</c:v>
                </c:pt>
                <c:pt idx="1">
                  <c:v>English and Ghanaian languages</c:v>
                </c:pt>
                <c:pt idx="2">
                  <c:v>Ghanaian language</c:v>
                </c:pt>
                <c:pt idx="3">
                  <c:v>English language</c:v>
                </c:pt>
                <c:pt idx="4">
                  <c:v>French</c:v>
                </c:pt>
              </c:strCache>
            </c:strRef>
          </c:cat>
          <c:val>
            <c:numRef>
              <c:f>Sheet1!$B$2:$F$2</c:f>
              <c:numCache>
                <c:ptCount val="5"/>
                <c:pt idx="0">
                  <c:v>37.000000</c:v>
                </c:pt>
                <c:pt idx="1">
                  <c:v>6.000000</c:v>
                </c:pt>
                <c:pt idx="2">
                  <c:v>32.000000</c:v>
                </c:pt>
                <c:pt idx="3">
                  <c:v>73.000000</c:v>
                </c:pt>
                <c:pt idx="4">
                  <c:v>1.000000</c:v>
                </c:pt>
              </c:numCache>
            </c:numRef>
          </c:val>
        </c:ser>
        <c:firstSliceAng val="0"/>
      </c:pieChart>
      <c:spPr>
        <a:noFill/>
        <a:ln w="12700" cap="flat">
          <a:noFill/>
          <a:miter lim="400000"/>
        </a:ln>
        <a:effectLst/>
      </c:spPr>
    </c:plotArea>
    <c:legend>
      <c:legendPos val="r"/>
      <c:layout>
        <c:manualLayout>
          <c:xMode val="edge"/>
          <c:yMode val="edge"/>
          <c:x val="0.408794"/>
          <c:y val="0.559178"/>
          <c:w val="0.591206"/>
          <c:h val="0.349333"/>
        </c:manualLayout>
      </c:layout>
      <c:overlay val="1"/>
      <c:spPr>
        <a:solidFill>
          <a:srgbClr val="F2F2F2">
            <a:alpha val="39000"/>
          </a:srgbClr>
        </a:solidFill>
        <a:ln w="12700" cap="flat">
          <a:noFill/>
          <a:miter lim="400000"/>
        </a:ln>
        <a:effectLst/>
      </c:spPr>
      <c:txPr>
        <a:bodyPr/>
        <a:lstStyle/>
        <a:p>
          <a:pPr lvl="0">
            <a:defRPr b="0" i="0" strike="noStrike" sz="900" u="none">
              <a:solidFill>
                <a:srgbClr val="404040"/>
              </a:solidFill>
              <a:effectLst/>
              <a:latin typeface="Helvetica"/>
            </a:defRPr>
          </a:pPr>
        </a:p>
      </c:txPr>
    </c:legend>
    <c:plotVisOnly val="1"/>
    <c:dispBlanksAs val="gap"/>
  </c:chart>
  <c:spPr>
    <a:gradFill flip="none" rotWithShape="1">
      <a:gsLst>
        <a:gs pos="0">
          <a:srgbClr val="FFFFFF"/>
        </a:gs>
        <a:gs pos="39000">
          <a:srgbClr val="FFFFFF"/>
        </a:gs>
        <a:gs pos="100000">
          <a:srgbClr val="BFBFBF"/>
        </a:gs>
      </a:gsLst>
      <a:path path="circle">
        <a:fillToRect l="37721" t="-19636" r="62278" b="119636"/>
      </a:path>
    </a:gradFill>
    <a:ln w="9525" cap="flat">
      <a:solidFill>
        <a:srgbClr val="BFBFBF"/>
      </a:solidFill>
      <a:prstDash val="solid"/>
      <a:round/>
    </a:ln>
    <a:effectLst/>
  </c:spPr>
  <c:externalData r:id="rId1">
    <c:autoUpdate val="0"/>
  </c:externalData>
</c:chartSpace>
</file>

<file path=word/theme/_rels/theme1.xml.rels><?xml version="1.0" encoding="UTF-8" standalone="yes"?><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