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Presupposition in Ghanaian and British Newspaper Editorials: A Comparative Study</w:t>
      </w: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 xml:space="preserve">sing a model proposed by Khaleel (2010:529) based on Karttunen (n.d.) </w:t>
      </w:r>
      <w:r w:rsidR="005D4774">
        <w:rPr>
          <w:rFonts w:ascii="Times New Roman" w:eastAsia="Times New Roman" w:hAnsi="Times New Roman" w:cs="Times New Roman"/>
          <w:sz w:val="24"/>
          <w:szCs w:val="24"/>
          <w:lang w:eastAsia="en-GB"/>
        </w:rPr>
        <w:t>and Yule (1996), 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the structural presupposition is the most triggered (46.1%) whilst the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rsidR="00697EEF" w:rsidRPr="00697EEF" w:rsidRDefault="00697EEF" w:rsidP="00CA22C3">
      <w:pPr>
        <w:spacing w:line="240" w:lineRule="auto"/>
        <w:rPr>
          <w:rFonts w:eastAsia="Times New Roman" w:hAnsi="Times New Roman" w:cs="Times New Roman"/>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(Khaleel, 2010). To presuppose something, in ordinary language, “means to assume it” (Saeed, 1997: 101). </w:t>
      </w:r>
      <w:r w:rsidR="00930C3E">
        <w:rPr>
          <w:rFonts w:ascii="Times New Roman" w:eastAsia="Times New Roman" w:hAnsi="Times New Roman" w:cs="Times New Roman"/>
          <w:sz w:val="24"/>
          <w:szCs w:val="24"/>
          <w:lang w:eastAsia="en-GB"/>
        </w:rPr>
        <w:t xml:space="preserve">In language use, presupposition is the implied claims intrinsic in the import of an utterance or text. (Richardson, 2007). For Yule (1996:25), presupposition is “something the speaker assumes to be the case prior to making an utterance”. Khaleel (2010) acknowledges that the concept of presupposition remains an interesting area of research for scholars of varied disciplines, particularly in philosophy and linguistics because of its role in meaning. </w:t>
      </w:r>
      <w:r w:rsidRPr="00697EEF">
        <w:rPr>
          <w:rFonts w:ascii="Times New Roman" w:eastAsia="Times New Roman" w:hAnsi="Times New Roman" w:cs="Times New Roman"/>
          <w:sz w:val="24"/>
          <w:szCs w:val="24"/>
          <w:lang w:eastAsia="en-GB"/>
        </w:rPr>
        <w:t xml:space="preserve">In linguistics, the concept adopts two approaches; the truth value approach and the interactional approach (Saeed, 1997: 102-106). According to Saeed (ibid), the first approach views sentences as “external objects” and are characterized in terms of their “truth relations” and the second, “as the utterances of individuals engaged in a communication act”. Leech (1981)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833ACD">
        <w:rPr>
          <w:rFonts w:ascii="Times New Roman" w:eastAsia="Times New Roman" w:hAnsi="Times New Roman" w:cs="Times New Roman"/>
          <w:sz w:val="24"/>
          <w:szCs w:val="24"/>
          <w:lang w:eastAsia="en-GB"/>
        </w:rPr>
        <w:t xml:space="preserve">see </w:t>
      </w:r>
      <w:r w:rsidRPr="00697EEF">
        <w:rPr>
          <w:rFonts w:ascii="Times New Roman" w:eastAsia="Times New Roman" w:hAnsi="Times New Roman" w:cs="Times New Roman"/>
          <w:sz w:val="24"/>
          <w:szCs w:val="24"/>
          <w:lang w:eastAsia="en-GB"/>
        </w:rPr>
        <w:t xml:space="preserve">Saeed, 1997: 109).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semantic presupposition “from the speaker’s viewpoint and talk about presupposition as part of the task of packaging an utterance; </w:t>
      </w:r>
      <w:r w:rsidRPr="00697EEF">
        <w:rPr>
          <w:rFonts w:ascii="Times New Roman" w:eastAsia="Times New Roman" w:hAnsi="Times New Roman" w:cs="Times New Roman"/>
          <w:sz w:val="24"/>
          <w:szCs w:val="24"/>
          <w:lang w:eastAsia="en-GB"/>
        </w:rPr>
        <w:lastRenderedPageBreak/>
        <w:t xml:space="preserve">or adopt the listeners’ viewpoint and see presupposition as one of a number of inferences that the listener might make on the basis of what the speaker has just said.” Yule (1996: 25) adds that “speakers, not sentences, have presuppositions”.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 xml:space="preserve">ited in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Finch (2000: 165) notes that:</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xml:space="preserve">.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acknowledge, the manipulative nature of presupposition as greatly utilised in media discourse. This is so because “some propositions is [are] (accepted to be) true, but in fact is not true at all, or at least controversial” (van Dijk, 2000: 10).</w:t>
      </w:r>
    </w:p>
    <w:p w:rsidR="00833ACD" w:rsidRDefault="00833ACD"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present different ways in organising thoughts to reflect the ideals of their societies (Kachru, 1995).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rsidR="00610155" w:rsidRPr="00697EEF" w:rsidRDefault="00610155"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0" w:name="_Toc505649109"/>
      <w:r w:rsidRPr="00697EEF">
        <w:rPr>
          <w:rFonts w:ascii="Times New Roman" w:eastAsia="Times New Roman" w:hAnsi="Times New Roman" w:cs="Times New Roman"/>
          <w:b/>
          <w:sz w:val="28"/>
          <w:szCs w:val="28"/>
          <w:lang w:eastAsia="en-GB"/>
        </w:rPr>
        <w:t>2.0 METHODOLOGY</w:t>
      </w:r>
      <w:bookmarkEnd w:id="0"/>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 w:name="_Toc505649110"/>
      <w:r w:rsidRPr="00697EEF">
        <w:rPr>
          <w:rFonts w:ascii="Times New Roman" w:eastAsia="Times New Roman" w:hAnsi="Times New Roman" w:cs="Times New Roman"/>
          <w:sz w:val="26"/>
          <w:szCs w:val="26"/>
          <w:lang w:eastAsia="en-GB"/>
        </w:rPr>
        <w:t>2.1 DATA SELECTION/ COLLECTION</w:t>
      </w:r>
      <w:bookmarkEnd w:id="1"/>
    </w:p>
    <w:p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w:t>
      </w:r>
      <w:r w:rsidR="00697EEF" w:rsidRPr="00697EEF">
        <w:rPr>
          <w:rFonts w:ascii="Times New Roman" w:eastAsia="Times New Roman" w:hAnsi="Times New Roman" w:cs="Times New Roman"/>
          <w:sz w:val="24"/>
          <w:szCs w:val="24"/>
          <w:lang w:eastAsia="en-GB"/>
        </w:rPr>
        <w:lastRenderedPageBreak/>
        <w:t xml:space="preserve">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w:t>
      </w:r>
      <w:proofErr w:type="spellStart"/>
      <w:r w:rsidR="00697EEF" w:rsidRPr="00697EEF">
        <w:rPr>
          <w:rFonts w:ascii="Times New Roman" w:eastAsia="Times New Roman" w:hAnsi="Times New Roman" w:cs="Times New Roman"/>
          <w:sz w:val="24"/>
          <w:szCs w:val="24"/>
          <w:lang w:eastAsia="en-GB"/>
        </w:rPr>
        <w:t>Kuehnhenrich</w:t>
      </w:r>
      <w:proofErr w:type="spellEnd"/>
      <w:r w:rsidR="00697EEF" w:rsidRPr="00697EEF">
        <w:rPr>
          <w:rFonts w:ascii="Times New Roman" w:eastAsia="Times New Roman" w:hAnsi="Times New Roman" w:cs="Times New Roman"/>
          <w:sz w:val="24"/>
          <w:szCs w:val="24"/>
          <w:lang w:eastAsia="en-GB"/>
        </w:rPr>
        <w:t>,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r w:rsidR="00610155" w:rsidRPr="00610155">
        <w:rPr>
          <w:rFonts w:ascii="Times New Roman" w:eastAsia="Times New Roman" w:hAnsi="Times New Roman" w:cs="Times New Roman"/>
          <w:sz w:val="24"/>
          <w:szCs w:val="24"/>
          <w:lang w:eastAsia="en-GB"/>
        </w:rPr>
        <w:t>http://dailyguideafrica.com/category/editorial/</w:t>
      </w:r>
      <w:r w:rsidR="00610155">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http://www.theguardian.com/profile/editorial respectively, between the months of November and December 2017. </w:t>
      </w:r>
    </w:p>
    <w:p w:rsidR="00610155" w:rsidRPr="00697EEF" w:rsidRDefault="00610155"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 w:name="_Toc505649111"/>
      <w:r w:rsidRPr="00697EEF">
        <w:rPr>
          <w:rFonts w:ascii="Times New Roman" w:eastAsia="Times New Roman" w:hAnsi="Times New Roman" w:cs="Times New Roman"/>
          <w:sz w:val="26"/>
          <w:szCs w:val="26"/>
          <w:lang w:eastAsia="en-GB"/>
        </w:rPr>
        <w:t>2.2 ANALYTICAL FRAMEWORK</w:t>
      </w:r>
      <w:bookmarkEnd w:id="2"/>
    </w:p>
    <w:p w:rsidR="000C4E42" w:rsidRDefault="0061015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Adopting the model proposed by Khaleel (2010:529) based on Karttunen (n.d.) and Yule (1996: 27-30)</w:t>
      </w:r>
      <w:r w:rsidR="00573D55">
        <w:rPr>
          <w:rFonts w:ascii="Times New Roman" w:eastAsia="Times New Roman" w:hAnsi="Times New Roman" w:cs="Times New Roman"/>
          <w:sz w:val="24"/>
          <w:szCs w:val="24"/>
          <w:lang w:eastAsia="en-GB"/>
        </w:rPr>
        <w:t>, a content analysis of presupposition triggers in the selected editorials was conducted. The</w:t>
      </w:r>
      <w:r w:rsidR="000C4E42">
        <w:rPr>
          <w:rFonts w:ascii="Times New Roman" w:eastAsia="Times New Roman" w:hAnsi="Times New Roman" w:cs="Times New Roman"/>
          <w:sz w:val="24"/>
          <w:szCs w:val="24"/>
          <w:lang w:eastAsia="en-GB"/>
        </w:rPr>
        <w:t xml:space="preserve"> analysis also incorporated the presupposition triggers identified by </w:t>
      </w:r>
      <w:proofErr w:type="spellStart"/>
      <w:r w:rsidR="000C4E42">
        <w:rPr>
          <w:rFonts w:ascii="Times New Roman" w:eastAsia="Times New Roman" w:hAnsi="Times New Roman" w:cs="Times New Roman"/>
          <w:sz w:val="24"/>
          <w:szCs w:val="24"/>
          <w:lang w:eastAsia="en-GB"/>
        </w:rPr>
        <w:t>Bonyadi</w:t>
      </w:r>
      <w:proofErr w:type="spellEnd"/>
      <w:r w:rsidR="000C4E42">
        <w:rPr>
          <w:rFonts w:ascii="Times New Roman" w:eastAsia="Times New Roman" w:hAnsi="Times New Roman" w:cs="Times New Roman"/>
          <w:sz w:val="24"/>
          <w:szCs w:val="24"/>
          <w:lang w:eastAsia="en-GB"/>
        </w:rPr>
        <w:t xml:space="preserve"> and Samuel (2011:4-11) into Khaleel’s (2010) proposed model. Khaleel (2010) notes that Karttunen (n.d.) collected thirty-one (31) kinds of presupposition triggers. Yule (1996) on the other hand classifies them into six types. These are existential, </w:t>
      </w:r>
      <w:proofErr w:type="spellStart"/>
      <w:r w:rsidR="000C4E42">
        <w:rPr>
          <w:rFonts w:ascii="Times New Roman" w:eastAsia="Times New Roman" w:hAnsi="Times New Roman" w:cs="Times New Roman"/>
          <w:sz w:val="24"/>
          <w:szCs w:val="24"/>
          <w:lang w:eastAsia="en-GB"/>
        </w:rPr>
        <w:t>factive</w:t>
      </w:r>
      <w:proofErr w:type="spellEnd"/>
      <w:r w:rsidR="000C4E42">
        <w:rPr>
          <w:rFonts w:ascii="Times New Roman" w:eastAsia="Times New Roman" w:hAnsi="Times New Roman" w:cs="Times New Roman"/>
          <w:sz w:val="24"/>
          <w:szCs w:val="24"/>
          <w:lang w:eastAsia="en-GB"/>
        </w:rPr>
        <w:t>, lexical, structural, non-</w:t>
      </w:r>
      <w:proofErr w:type="spellStart"/>
      <w:r w:rsidR="000C4E42">
        <w:rPr>
          <w:rFonts w:ascii="Times New Roman" w:eastAsia="Times New Roman" w:hAnsi="Times New Roman" w:cs="Times New Roman"/>
          <w:sz w:val="24"/>
          <w:szCs w:val="24"/>
          <w:lang w:eastAsia="en-GB"/>
        </w:rPr>
        <w:t>factive</w:t>
      </w:r>
      <w:proofErr w:type="spellEnd"/>
      <w:r w:rsidR="000C4E42">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counter factual. </w:t>
      </w:r>
      <w:r w:rsidR="000C4E42">
        <w:rPr>
          <w:rFonts w:ascii="Times New Roman" w:eastAsia="Times New Roman" w:hAnsi="Times New Roman" w:cs="Times New Roman"/>
          <w:sz w:val="24"/>
          <w:szCs w:val="24"/>
          <w:lang w:eastAsia="en-GB"/>
        </w:rPr>
        <w:t>These, Khaleel (2010) acknowledges, form the core of the phenomenon.</w:t>
      </w:r>
    </w:p>
    <w:p w:rsidR="00697EEF" w:rsidRPr="00697EEF" w:rsidRDefault="000C4E42"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Khaleel’s (2010</w:t>
      </w:r>
      <w:r w:rsidR="00697EEF" w:rsidRPr="00697EEF">
        <w:rPr>
          <w:rFonts w:ascii="Times New Roman" w:eastAsia="Times New Roman" w:hAnsi="Times New Roman" w:cs="Times New Roman"/>
          <w:sz w:val="24"/>
          <w:szCs w:val="24"/>
          <w:lang w:eastAsia="en-GB"/>
        </w:rPr>
        <w:t xml:space="preserve">) model classified presupposition triggers into three major types: existential (definite descriptions); lexical (implicative and </w:t>
      </w:r>
      <w:proofErr w:type="spellStart"/>
      <w:r w:rsidR="00697EEF" w:rsidRPr="00697EEF">
        <w:rPr>
          <w:rFonts w:ascii="Times New Roman" w:eastAsia="Times New Roman" w:hAnsi="Times New Roman" w:cs="Times New Roman"/>
          <w:sz w:val="24"/>
          <w:szCs w:val="24"/>
          <w:lang w:eastAsia="en-GB"/>
        </w:rPr>
        <w:t>facative</w:t>
      </w:r>
      <w:proofErr w:type="spellEnd"/>
      <w:r w:rsidR="00697EEF" w:rsidRPr="00697EEF">
        <w:rPr>
          <w:rFonts w:ascii="Times New Roman" w:eastAsia="Times New Roman" w:hAnsi="Times New Roman" w:cs="Times New Roman"/>
          <w:sz w:val="24"/>
          <w:szCs w:val="24"/>
          <w:lang w:eastAsia="en-GB"/>
        </w:rPr>
        <w:t xml:space="preserve"> verbs, change of state </w:t>
      </w:r>
      <w:proofErr w:type="spellStart"/>
      <w:r w:rsidR="00697EEF" w:rsidRPr="00697EEF">
        <w:rPr>
          <w:rFonts w:ascii="Times New Roman" w:eastAsia="Times New Roman" w:hAnsi="Times New Roman" w:cs="Times New Roman"/>
          <w:sz w:val="24"/>
          <w:szCs w:val="24"/>
          <w:lang w:eastAsia="en-GB"/>
        </w:rPr>
        <w:t>versbs</w:t>
      </w:r>
      <w:proofErr w:type="spellEnd"/>
      <w:r w:rsidR="00697EEF" w:rsidRPr="00697EEF">
        <w:rPr>
          <w:rFonts w:ascii="Times New Roman" w:eastAsia="Times New Roman" w:hAnsi="Times New Roman" w:cs="Times New Roman"/>
          <w:sz w:val="24"/>
          <w:szCs w:val="24"/>
          <w:lang w:eastAsia="en-GB"/>
        </w:rPr>
        <w:t xml:space="preserve"> and verbs or judging, counter factual verbs, conventional items and </w:t>
      </w:r>
      <w:proofErr w:type="spellStart"/>
      <w:r w:rsidR="00697EEF" w:rsidRPr="00697EEF">
        <w:rPr>
          <w:rFonts w:ascii="Times New Roman" w:eastAsia="Times New Roman" w:hAnsi="Times New Roman" w:cs="Times New Roman"/>
          <w:sz w:val="24"/>
          <w:szCs w:val="24"/>
          <w:lang w:eastAsia="en-GB"/>
        </w:rPr>
        <w:t>iteratives</w:t>
      </w:r>
      <w:proofErr w:type="spellEnd"/>
      <w:r w:rsidR="00697EEF" w:rsidRPr="00697EEF">
        <w:rPr>
          <w:rFonts w:ascii="Times New Roman" w:eastAsia="Times New Roman" w:hAnsi="Times New Roman" w:cs="Times New Roman"/>
          <w:sz w:val="24"/>
          <w:szCs w:val="24"/>
          <w:lang w:eastAsia="en-GB"/>
        </w:rPr>
        <w:t xml:space="preserve">); and structural (cleft constructions,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adverbial and comparative constructions, and counter factual conditionals, and non-restrictive clauses).  </w:t>
      </w:r>
      <w:r w:rsidR="00573D55">
        <w:rPr>
          <w:rFonts w:ascii="Times New Roman" w:eastAsia="Times New Roman" w:hAnsi="Times New Roman" w:cs="Times New Roman"/>
          <w:sz w:val="24"/>
          <w:szCs w:val="24"/>
          <w:lang w:eastAsia="en-GB"/>
        </w:rPr>
        <w:t>These are incorporated in the diagram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00AA8CFC" wp14:editId="29EF46D0">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8"/>
                    <a:stretch>
                      <a:fillRect/>
                    </a:stretch>
                  </pic:blipFill>
                  <pic:spPr>
                    <a:xfrm>
                      <a:off x="0" y="0"/>
                      <a:ext cx="5557331" cy="2414986"/>
                    </a:xfrm>
                    <a:prstGeom prst="rect">
                      <a:avLst/>
                    </a:prstGeom>
                  </pic:spPr>
                </pic:pic>
              </a:graphicData>
            </a:graphic>
          </wp:inline>
        </w:drawing>
      </w:r>
    </w:p>
    <w:p w:rsidR="00AE67B8"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Khaleel (2010: 529) </w:t>
      </w:r>
    </w:p>
    <w:p w:rsidR="00AE67B8" w:rsidRDefault="00AE67B8" w:rsidP="00CA22C3">
      <w:pPr>
        <w:spacing w:line="240" w:lineRule="auto"/>
        <w:jc w:val="both"/>
        <w:rPr>
          <w:rFonts w:ascii="Times New Roman" w:eastAsia="Times New Roman" w:hAnsi="Times New Roman" w:cs="Times New Roman"/>
          <w:sz w:val="24"/>
          <w:szCs w:val="24"/>
          <w:lang w:eastAsia="en-GB"/>
        </w:rPr>
      </w:pPr>
    </w:p>
    <w:p w:rsidR="00AE67B8" w:rsidRDefault="00AE67B8" w:rsidP="00CA22C3">
      <w:pPr>
        <w:spacing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lastRenderedPageBreak/>
        <w:t>Bonyadi</w:t>
      </w:r>
      <w:proofErr w:type="spellEnd"/>
      <w:r>
        <w:rPr>
          <w:rFonts w:ascii="Times New Roman" w:eastAsia="Times New Roman" w:hAnsi="Times New Roman" w:cs="Times New Roman"/>
          <w:sz w:val="24"/>
          <w:szCs w:val="24"/>
          <w:lang w:eastAsia="en-GB"/>
        </w:rPr>
        <w:t xml:space="preserve"> and Samuel (2011</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in their study, identify the following presupposition triggers: </w:t>
      </w:r>
      <w:r w:rsidR="00697EEF" w:rsidRPr="00697EEF">
        <w:rPr>
          <w:rFonts w:ascii="Times New Roman" w:eastAsia="Times New Roman" w:hAnsi="Times New Roman" w:cs="Times New Roman"/>
          <w:sz w:val="24"/>
          <w:szCs w:val="24"/>
          <w:lang w:eastAsia="en-GB"/>
        </w:rPr>
        <w:t xml:space="preserve">presupposition through nominalization; existential presupposition; </w:t>
      </w:r>
      <w:proofErr w:type="spellStart"/>
      <w:r w:rsidR="00697EEF" w:rsidRPr="00697EEF">
        <w:rPr>
          <w:rFonts w:ascii="Times New Roman" w:eastAsia="Times New Roman" w:hAnsi="Times New Roman" w:cs="Times New Roman"/>
          <w:sz w:val="24"/>
          <w:szCs w:val="24"/>
          <w:lang w:eastAsia="en-GB"/>
        </w:rPr>
        <w:t>factive</w:t>
      </w:r>
      <w:proofErr w:type="spellEnd"/>
      <w:r w:rsidR="00697EEF" w:rsidRPr="00697EEF">
        <w:rPr>
          <w:rFonts w:ascii="Times New Roman" w:eastAsia="Times New Roman" w:hAnsi="Times New Roman" w:cs="Times New Roman"/>
          <w:sz w:val="24"/>
          <w:szCs w:val="24"/>
          <w:lang w:eastAsia="en-GB"/>
        </w:rPr>
        <w:t xml:space="preserve"> and non-</w:t>
      </w:r>
      <w:proofErr w:type="spellStart"/>
      <w:r w:rsidR="00697EEF" w:rsidRPr="00697EEF">
        <w:rPr>
          <w:rFonts w:ascii="Times New Roman" w:eastAsia="Times New Roman" w:hAnsi="Times New Roman" w:cs="Times New Roman"/>
          <w:sz w:val="24"/>
          <w:szCs w:val="24"/>
          <w:lang w:eastAsia="en-GB"/>
        </w:rPr>
        <w:t>factive</w:t>
      </w:r>
      <w:proofErr w:type="spellEnd"/>
      <w:r w:rsidR="00697EEF" w:rsidRPr="00697EEF">
        <w:rPr>
          <w:rFonts w:ascii="Times New Roman" w:eastAsia="Times New Roman" w:hAnsi="Times New Roman" w:cs="Times New Roman"/>
          <w:sz w:val="24"/>
          <w:szCs w:val="24"/>
          <w:lang w:eastAsia="en-GB"/>
        </w:rPr>
        <w:t xml:space="preserve"> presupposition; counter </w:t>
      </w:r>
      <w:proofErr w:type="spellStart"/>
      <w:r w:rsidR="00697EEF" w:rsidRPr="00697EEF">
        <w:rPr>
          <w:rFonts w:ascii="Times New Roman" w:eastAsia="Times New Roman" w:hAnsi="Times New Roman" w:cs="Times New Roman"/>
          <w:sz w:val="24"/>
          <w:szCs w:val="24"/>
          <w:lang w:eastAsia="en-GB"/>
        </w:rPr>
        <w:t>factive</w:t>
      </w:r>
      <w:proofErr w:type="spellEnd"/>
      <w:r w:rsidR="00697EEF" w:rsidRPr="00697EEF">
        <w:rPr>
          <w:rFonts w:ascii="Times New Roman" w:eastAsia="Times New Roman" w:hAnsi="Times New Roman" w:cs="Times New Roman"/>
          <w:sz w:val="24"/>
          <w:szCs w:val="24"/>
          <w:lang w:eastAsia="en-GB"/>
        </w:rPr>
        <w:t xml:space="preserve"> presupposition; presupposition through adverbial and relative clauses; presupposition through “parenthetical”, “prepositional” and “given” clauses; and</w:t>
      </w:r>
      <w:r>
        <w:rPr>
          <w:rFonts w:ascii="Times New Roman" w:eastAsia="Times New Roman" w:hAnsi="Times New Roman" w:cs="Times New Roman"/>
          <w:sz w:val="24"/>
          <w:szCs w:val="24"/>
          <w:lang w:eastAsia="en-GB"/>
        </w:rPr>
        <w:t xml:space="preserve"> presupposition through “even”. </w:t>
      </w:r>
      <w:r w:rsidR="00697EEF" w:rsidRPr="00697EEF">
        <w:rPr>
          <w:rFonts w:ascii="Times New Roman" w:eastAsia="Times New Roman" w:hAnsi="Times New Roman" w:cs="Times New Roman"/>
          <w:sz w:val="24"/>
          <w:szCs w:val="24"/>
          <w:lang w:eastAsia="en-GB"/>
        </w:rPr>
        <w:t xml:space="preserve">It must be noted that the differences in the types of presupposition </w:t>
      </w:r>
      <w:r>
        <w:rPr>
          <w:rFonts w:ascii="Times New Roman" w:eastAsia="Times New Roman" w:hAnsi="Times New Roman" w:cs="Times New Roman"/>
          <w:sz w:val="24"/>
          <w:szCs w:val="24"/>
          <w:lang w:eastAsia="en-GB"/>
        </w:rPr>
        <w:t xml:space="preserve">triggers proposed by Khaleel (2010) and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is about </w:t>
      </w:r>
      <w:r w:rsidR="00697EEF" w:rsidRPr="00697EEF">
        <w:rPr>
          <w:rFonts w:ascii="Times New Roman" w:eastAsia="Times New Roman" w:hAnsi="Times New Roman" w:cs="Times New Roman"/>
          <w:sz w:val="24"/>
          <w:szCs w:val="24"/>
          <w:lang w:eastAsia="en-GB"/>
        </w:rPr>
        <w:t xml:space="preserve">“parenthetical”; “prepositional”; “given”; and “even” presuppositions. </w:t>
      </w:r>
      <w:r>
        <w:rPr>
          <w:rFonts w:ascii="Times New Roman" w:eastAsia="Times New Roman" w:hAnsi="Times New Roman" w:cs="Times New Roman"/>
          <w:sz w:val="24"/>
          <w:szCs w:val="24"/>
          <w:lang w:eastAsia="en-GB"/>
        </w:rPr>
        <w:t xml:space="preserve">For the purposes of the study, </w:t>
      </w:r>
      <w:r w:rsidR="00573D55">
        <w:rPr>
          <w:rFonts w:ascii="Times New Roman" w:eastAsia="Times New Roman" w:hAnsi="Times New Roman" w:cs="Times New Roman"/>
          <w:sz w:val="24"/>
          <w:szCs w:val="24"/>
          <w:lang w:eastAsia="en-GB"/>
        </w:rPr>
        <w:t>these types were categorised under structural presupposition as per Khaleel’s (2010) model.</w:t>
      </w:r>
      <w:r>
        <w:rPr>
          <w:rFonts w:ascii="Times New Roman" w:eastAsia="Times New Roman" w:hAnsi="Times New Roman" w:cs="Times New Roman"/>
          <w:sz w:val="24"/>
          <w:szCs w:val="24"/>
          <w:lang w:eastAsia="en-GB"/>
        </w:rPr>
        <w:t xml:space="preserve"> In his own words, Khaleel (2010:533) states:</w:t>
      </w:r>
    </w:p>
    <w:p w:rsidR="00697EEF" w:rsidRPr="00697EEF" w:rsidRDefault="00697EEF" w:rsidP="00CA22C3">
      <w:pPr>
        <w:spacing w:line="240" w:lineRule="auto"/>
        <w:ind w:left="72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 (p. 533)</w:t>
      </w:r>
    </w:p>
    <w:p w:rsidR="00AE67B8"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Pr="00697EEF">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 xml:space="preserve">Therefore, </w:t>
      </w:r>
      <w:r w:rsidR="00CE5956">
        <w:rPr>
          <w:rFonts w:ascii="Times New Roman" w:eastAsia="Times New Roman" w:hAnsi="Times New Roman" w:cs="Times New Roman"/>
          <w:sz w:val="24"/>
          <w:szCs w:val="24"/>
          <w:lang w:eastAsia="en-GB"/>
        </w:rPr>
        <w:t xml:space="preserve">the study employed a synthesis of </w:t>
      </w:r>
      <w:r w:rsidR="00AE67B8">
        <w:rPr>
          <w:rFonts w:ascii="Times New Roman" w:eastAsia="Times New Roman" w:hAnsi="Times New Roman" w:cs="Times New Roman"/>
          <w:sz w:val="24"/>
          <w:szCs w:val="24"/>
          <w:lang w:eastAsia="en-GB"/>
        </w:rPr>
        <w:t xml:space="preserve">Khaleel (2010) and, </w:t>
      </w:r>
      <w:proofErr w:type="spellStart"/>
      <w:r w:rsidR="00AE67B8">
        <w:rPr>
          <w:rFonts w:ascii="Times New Roman" w:eastAsia="Times New Roman" w:hAnsi="Times New Roman" w:cs="Times New Roman"/>
          <w:sz w:val="24"/>
          <w:szCs w:val="24"/>
          <w:lang w:eastAsia="en-GB"/>
        </w:rPr>
        <w:t>Bonyadi</w:t>
      </w:r>
      <w:proofErr w:type="spellEnd"/>
      <w:r w:rsidR="00AE67B8">
        <w:rPr>
          <w:rFonts w:ascii="Times New Roman" w:eastAsia="Times New Roman" w:hAnsi="Times New Roman" w:cs="Times New Roman"/>
          <w:sz w:val="24"/>
          <w:szCs w:val="24"/>
          <w:lang w:eastAsia="en-GB"/>
        </w:rPr>
        <w:t xml:space="preserve"> and Samuel (2011) in the analysis of presupposition in the selected newspaper editorials.</w:t>
      </w:r>
    </w:p>
    <w:p w:rsidR="00697EEF" w:rsidRPr="00697EEF" w:rsidRDefault="00697EEF" w:rsidP="00CA22C3">
      <w:pPr>
        <w:spacing w:line="240" w:lineRule="auto"/>
        <w:jc w:val="both"/>
        <w:rPr>
          <w:rFonts w:ascii="Times New Roman" w:eastAsia="Times New Roman" w:hAnsi="Times New Roman" w:cs="Times New Roman"/>
          <w:b/>
          <w:sz w:val="28"/>
          <w:szCs w:val="28"/>
          <w:lang w:eastAsia="en-GB"/>
        </w:rPr>
      </w:pP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3" w:name="_Toc505649112"/>
      <w:r w:rsidRPr="00697EEF">
        <w:rPr>
          <w:rFonts w:ascii="Times New Roman" w:eastAsia="Times New Roman" w:hAnsi="Times New Roman" w:cs="Times New Roman"/>
          <w:b/>
          <w:sz w:val="28"/>
          <w:szCs w:val="28"/>
          <w:lang w:eastAsia="en-GB"/>
        </w:rPr>
        <w:t>3.0 ANALYSIS</w:t>
      </w:r>
      <w:bookmarkEnd w:id="3"/>
    </w:p>
    <w:p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models of</w:t>
      </w:r>
      <w:r w:rsidR="00AE67B8">
        <w:rPr>
          <w:rFonts w:ascii="Times New Roman" w:eastAsia="Times New Roman" w:hAnsi="Times New Roman" w:cs="Times New Roman"/>
          <w:sz w:val="24"/>
          <w:szCs w:val="24"/>
          <w:lang w:eastAsia="en-GB"/>
        </w:rPr>
        <w:t xml:space="preserve"> Khaleel (2010) and, </w:t>
      </w:r>
      <w:proofErr w:type="spellStart"/>
      <w:r w:rsidR="00AE67B8">
        <w:rPr>
          <w:rFonts w:ascii="Times New Roman" w:eastAsia="Times New Roman" w:hAnsi="Times New Roman" w:cs="Times New Roman"/>
          <w:sz w:val="24"/>
          <w:szCs w:val="24"/>
          <w:lang w:eastAsia="en-GB"/>
        </w:rPr>
        <w:t>Bonyadi</w:t>
      </w:r>
      <w:proofErr w:type="spellEnd"/>
      <w:r w:rsidR="00AE67B8">
        <w:rPr>
          <w:rFonts w:ascii="Times New Roman" w:eastAsia="Times New Roman" w:hAnsi="Times New Roman" w:cs="Times New Roman"/>
          <w:sz w:val="24"/>
          <w:szCs w:val="24"/>
          <w:lang w:eastAsia="en-GB"/>
        </w:rPr>
        <w:t xml:space="preserve"> and Samuel (2011) 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r w:rsidR="009D1BDD">
        <w:rPr>
          <w:rFonts w:ascii="Times New Roman" w:eastAsia="Times New Roman" w:hAnsi="Times New Roman" w:cs="Times New Roman"/>
          <w:sz w:val="24"/>
          <w:szCs w:val="24"/>
          <w:lang w:eastAsia="en-GB"/>
        </w:rPr>
        <w:t xml:space="preserve"> Again, DGE and GNE are used as reference codes for the editorials of the </w:t>
      </w:r>
      <w:r w:rsidR="009D1BDD" w:rsidRPr="009D1BDD">
        <w:rPr>
          <w:rFonts w:ascii="Times New Roman" w:eastAsia="Times New Roman" w:hAnsi="Times New Roman" w:cs="Times New Roman"/>
          <w:i/>
          <w:sz w:val="24"/>
          <w:szCs w:val="24"/>
          <w:lang w:eastAsia="en-GB"/>
        </w:rPr>
        <w:t>Daily Guide</w:t>
      </w:r>
      <w:r w:rsidR="009D1BDD">
        <w:rPr>
          <w:rFonts w:ascii="Times New Roman" w:eastAsia="Times New Roman" w:hAnsi="Times New Roman" w:cs="Times New Roman"/>
          <w:sz w:val="24"/>
          <w:szCs w:val="24"/>
          <w:lang w:eastAsia="en-GB"/>
        </w:rPr>
        <w:t xml:space="preserve"> and </w:t>
      </w:r>
      <w:r w:rsidR="009D1BDD" w:rsidRPr="009D1BDD">
        <w:rPr>
          <w:rFonts w:ascii="Times New Roman" w:eastAsia="Times New Roman" w:hAnsi="Times New Roman" w:cs="Times New Roman"/>
          <w:i/>
          <w:sz w:val="24"/>
          <w:szCs w:val="24"/>
          <w:lang w:eastAsia="en-GB"/>
        </w:rPr>
        <w:t>The Guardian</w:t>
      </w:r>
      <w:r w:rsidR="009D1BDD">
        <w:rPr>
          <w:rFonts w:ascii="Times New Roman" w:eastAsia="Times New Roman" w:hAnsi="Times New Roman" w:cs="Times New Roman"/>
          <w:i/>
          <w:sz w:val="24"/>
          <w:szCs w:val="24"/>
          <w:lang w:eastAsia="en-GB"/>
        </w:rPr>
        <w:t>,</w:t>
      </w:r>
      <w:r w:rsidR="009D1BDD">
        <w:rPr>
          <w:rFonts w:ascii="Times New Roman" w:eastAsia="Times New Roman" w:hAnsi="Times New Roman" w:cs="Times New Roman"/>
          <w:sz w:val="24"/>
          <w:szCs w:val="24"/>
          <w:lang w:eastAsia="en-GB"/>
        </w:rPr>
        <w:t xml:space="preserve"> respectively.</w:t>
      </w:r>
    </w:p>
    <w:p w:rsidR="009D1BDD" w:rsidRPr="00697EEF" w:rsidRDefault="009D1BDD"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4" w:name="_Toc505649113"/>
      <w:r w:rsidRPr="00697EEF">
        <w:rPr>
          <w:rFonts w:ascii="Times New Roman" w:eastAsia="Times New Roman" w:hAnsi="Times New Roman" w:cs="Times New Roman"/>
          <w:sz w:val="26"/>
          <w:szCs w:val="26"/>
          <w:lang w:eastAsia="en-GB"/>
        </w:rPr>
        <w:t>3.1 EXISTENTIAL PRESUPPOSITION</w:t>
      </w:r>
      <w:bookmarkEnd w:id="4"/>
    </w:p>
    <w:p w:rsidR="009D1B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rsidR="009D1BDD" w:rsidRDefault="009D1BDD"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5" w:name="_Toc505649114"/>
      <w:r w:rsidRPr="00697EEF">
        <w:rPr>
          <w:rFonts w:ascii="Times New Roman" w:eastAsia="Times New Roman" w:hAnsi="Times New Roman" w:cs="Times New Roman"/>
          <w:sz w:val="24"/>
          <w:szCs w:val="24"/>
          <w:lang w:eastAsia="en-GB"/>
        </w:rPr>
        <w:t>3.1.1 Definite Noun Phrases/ Definite Descriptions</w:t>
      </w:r>
      <w:bookmarkEnd w:id="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This segment of our world (Ref. DGE 12) &gt;&gt; Our world has a segment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excerpts below are examples of definite noun phrases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biggest nights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was observed that noun phrases of the kind above from both the DGE and the GNE are used by the editors to assert the truism of the propositions. The reader is therefore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 therefore, readers assume their existence.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6" w:name="_Toc505649115"/>
      <w:r w:rsidRPr="00697EEF">
        <w:rPr>
          <w:rFonts w:ascii="Times New Roman" w:eastAsia="Times New Roman" w:hAnsi="Times New Roman" w:cs="Times New Roman"/>
          <w:sz w:val="24"/>
          <w:szCs w:val="24"/>
          <w:lang w:eastAsia="en-GB"/>
        </w:rPr>
        <w:t>3.1.2 Possessive Constructions.</w:t>
      </w:r>
      <w:bookmarkEnd w:id="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lastRenderedPageBreak/>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7" w:name="_Toc505649116"/>
      <w:r w:rsidRPr="00697EEF">
        <w:rPr>
          <w:rFonts w:ascii="Times New Roman" w:eastAsia="Times New Roman" w:hAnsi="Times New Roman" w:cs="Times New Roman"/>
          <w:sz w:val="24"/>
          <w:szCs w:val="24"/>
          <w:lang w:eastAsia="en-GB"/>
        </w:rPr>
        <w:t>3.1.3 “One” Constructions</w:t>
      </w:r>
      <w:bookmarkEnd w:id="7"/>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“one” construction is so named because it is a structured string of words preceded by “one”. The structure is thus, one + of + a definite description. These were evident in both newspaper editorials as they were used to trigger presupposition of existence.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8" w:name="_Toc505649117"/>
      <w:r w:rsidRPr="00697EEF">
        <w:rPr>
          <w:rFonts w:ascii="Times New Roman" w:eastAsia="Times New Roman" w:hAnsi="Times New Roman" w:cs="Times New Roman"/>
          <w:sz w:val="26"/>
          <w:szCs w:val="26"/>
          <w:lang w:eastAsia="en-GB"/>
        </w:rPr>
        <w:t>3.2 STRUCTURAL PRESUPPOSITION</w:t>
      </w:r>
      <w:bookmarkEnd w:id="8"/>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Yule (1996: 28) states that “certain sentence structures have been </w:t>
      </w:r>
      <w:proofErr w:type="spellStart"/>
      <w:r w:rsidRPr="00697EEF">
        <w:rPr>
          <w:rFonts w:ascii="Times New Roman" w:eastAsia="Times New Roman" w:hAnsi="Times New Roman" w:cs="Times New Roman"/>
          <w:sz w:val="24"/>
          <w:szCs w:val="24"/>
          <w:lang w:eastAsia="en-GB"/>
        </w:rPr>
        <w:t>analyzed</w:t>
      </w:r>
      <w:proofErr w:type="spellEnd"/>
      <w:r w:rsidRPr="00697EEF">
        <w:rPr>
          <w:rFonts w:ascii="Times New Roman" w:eastAsia="Times New Roman" w:hAnsi="Times New Roman" w:cs="Times New Roman"/>
          <w:sz w:val="24"/>
          <w:szCs w:val="24"/>
          <w:lang w:eastAsia="en-GB"/>
        </w:rPr>
        <w:t xml:space="preserve">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9" w:name="_Toc505649118"/>
      <w:r w:rsidRPr="00697EEF">
        <w:rPr>
          <w:rFonts w:ascii="Times New Roman" w:eastAsia="Times New Roman" w:hAnsi="Times New Roman" w:cs="Times New Roman"/>
          <w:sz w:val="24"/>
          <w:szCs w:val="24"/>
          <w:lang w:eastAsia="en-GB"/>
        </w:rPr>
        <w:t>3.2.1 Adverbial Clauses</w:t>
      </w:r>
      <w:bookmarkEnd w:id="9"/>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lastRenderedPageBreak/>
        <w:t>Afreh</w:t>
      </w:r>
      <w:proofErr w:type="spellEnd"/>
      <w:r w:rsidRPr="00697EEF">
        <w:rPr>
          <w:rFonts w:ascii="Times New Roman" w:eastAsia="Times New Roman" w:hAnsi="Times New Roman" w:cs="Times New Roman"/>
          <w:sz w:val="24"/>
          <w:szCs w:val="24"/>
          <w:lang w:eastAsia="en-GB"/>
        </w:rPr>
        <w:t xml:space="preserve">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Khaleel’s (2010: 534) example, “She wrote the book when she lived in Boston”. The adverbial clause, “when she lived in Boston” presupposes “She lived in Boston”. Below are examples of adverbial clauses that trigger presupposition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0" w:name="_Toc505649119"/>
      <w:r w:rsidRPr="00697EEF">
        <w:rPr>
          <w:rFonts w:ascii="Times New Roman" w:eastAsia="Times New Roman" w:hAnsi="Times New Roman" w:cs="Times New Roman"/>
          <w:sz w:val="24"/>
          <w:szCs w:val="24"/>
          <w:lang w:eastAsia="en-GB"/>
        </w:rPr>
        <w:t>3.2.2 It-Cleft</w:t>
      </w:r>
      <w:bookmarkEnd w:id="10"/>
    </w:p>
    <w:p w:rsidR="00697EEF" w:rsidRPr="00697EEF" w:rsidRDefault="00CA22C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sz w:val="24"/>
          <w:szCs w:val="24"/>
          <w:lang w:eastAsia="en-GB"/>
        </w:rPr>
        <w:t>it-cleft comprises the pronoun “it” followed by a form of the verb “be” (Khaleel, 2010: 533). The form of the verb “be” is followed by “the specially focussed element, which may be of the following types: a noun phrase, a prepositional phrase, and adverb phrase, or an adverbial clause, a relative-like dependent clause introduced by that, who, or zero” (</w:t>
      </w:r>
      <w:proofErr w:type="spellStart"/>
      <w:r w:rsidR="00697EEF" w:rsidRPr="00697EEF">
        <w:rPr>
          <w:rFonts w:ascii="Times New Roman" w:eastAsia="Times New Roman" w:hAnsi="Times New Roman" w:cs="Times New Roman"/>
          <w:sz w:val="24"/>
          <w:szCs w:val="24"/>
          <w:lang w:eastAsia="en-GB"/>
        </w:rPr>
        <w:t>Biber</w:t>
      </w:r>
      <w:proofErr w:type="spellEnd"/>
      <w:r w:rsidR="00697EEF" w:rsidRPr="00697EEF">
        <w:rPr>
          <w:rFonts w:ascii="Times New Roman" w:eastAsia="Times New Roman" w:hAnsi="Times New Roman" w:cs="Times New Roman"/>
          <w:sz w:val="24"/>
          <w:szCs w:val="24"/>
          <w:lang w:eastAsia="en-GB"/>
        </w:rPr>
        <w:t xml:space="preserve"> et al, 1999: 959).</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was just one occurrence of this in the editorials selected.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 a decision which did not only jolt observers… (Ref. DGE 1) &gt;&gt; Something did not only jolt observers.</w:t>
      </w:r>
    </w:p>
    <w:p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1" w:name="_Toc505649120"/>
      <w:r w:rsidRPr="00697EEF">
        <w:rPr>
          <w:rFonts w:ascii="Times New Roman" w:eastAsia="Times New Roman" w:hAnsi="Times New Roman" w:cs="Times New Roman"/>
          <w:sz w:val="24"/>
          <w:szCs w:val="24"/>
          <w:lang w:eastAsia="en-GB"/>
        </w:rPr>
        <w:t xml:space="preserve">3.2.3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w:t>
      </w:r>
      <w:bookmarkEnd w:id="11"/>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2" w:name="_Toc505649121"/>
      <w:r w:rsidRPr="00697EEF">
        <w:rPr>
          <w:rFonts w:ascii="Times New Roman" w:eastAsia="Times New Roman" w:hAnsi="Times New Roman" w:cs="Times New Roman"/>
          <w:sz w:val="24"/>
          <w:szCs w:val="24"/>
          <w:lang w:eastAsia="en-GB"/>
        </w:rPr>
        <w:t>3.2.4 Parenthetical Constructions</w:t>
      </w:r>
      <w:bookmarkEnd w:id="12"/>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of the sentence, grammatically. Below are examples of such presupposition triggers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lastRenderedPageBreak/>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(The Free SHS) are buffooneries </w:t>
      </w:r>
    </w:p>
    <w:p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3" w:name="_Toc505649122"/>
      <w:r w:rsidRPr="00697EEF">
        <w:rPr>
          <w:rFonts w:ascii="Times New Roman" w:eastAsia="Times New Roman" w:hAnsi="Times New Roman" w:cs="Times New Roman"/>
          <w:sz w:val="24"/>
          <w:szCs w:val="24"/>
          <w:lang w:eastAsia="en-GB"/>
        </w:rPr>
        <w:t>3.2.5 Relative Clauses</w:t>
      </w:r>
      <w:bookmarkEnd w:id="13"/>
      <w:r w:rsidRPr="00697EEF">
        <w:rPr>
          <w:rFonts w:ascii="Times New Roman" w:eastAsia="Times New Roman" w:hAnsi="Times New Roman" w:cs="Times New Roman"/>
          <w:sz w:val="24"/>
          <w:szCs w:val="24"/>
          <w:lang w:eastAsia="en-GB"/>
        </w:rPr>
        <w:t xml:space="preserve"> </w:t>
      </w:r>
    </w:p>
    <w:p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4" w:name="_Toc505649123"/>
      <w:r w:rsidRPr="00697EEF">
        <w:rPr>
          <w:rFonts w:ascii="Times New Roman" w:eastAsia="Times New Roman" w:hAnsi="Times New Roman" w:cs="Times New Roman"/>
          <w:sz w:val="24"/>
          <w:szCs w:val="24"/>
          <w:lang w:eastAsia="en-GB"/>
        </w:rPr>
        <w:t>3.2.6 Prepositional Phrase</w:t>
      </w:r>
      <w:bookmarkEnd w:id="14"/>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5" w:name="_Toc505649124"/>
      <w:r w:rsidRPr="00697EEF">
        <w:rPr>
          <w:rFonts w:ascii="Times New Roman" w:eastAsia="Times New Roman" w:hAnsi="Times New Roman" w:cs="Times New Roman"/>
          <w:sz w:val="24"/>
          <w:szCs w:val="24"/>
          <w:lang w:eastAsia="en-GB"/>
        </w:rPr>
        <w:t>3.2.7 Counter factual Conditionals/ Constructions</w:t>
      </w:r>
      <w:bookmarkEnd w:id="1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6" w:name="_Toc505649125"/>
      <w:r w:rsidRPr="00697EEF">
        <w:rPr>
          <w:rFonts w:ascii="Times New Roman" w:eastAsia="Times New Roman" w:hAnsi="Times New Roman" w:cs="Times New Roman"/>
          <w:sz w:val="24"/>
          <w:szCs w:val="24"/>
          <w:lang w:eastAsia="en-GB"/>
        </w:rPr>
        <w:t>3.2.8 “Given” Constructions</w:t>
      </w:r>
      <w:bookmarkEnd w:id="1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7" w:name="_Toc505649126"/>
      <w:r w:rsidRPr="00697EEF">
        <w:rPr>
          <w:rFonts w:ascii="Times New Roman" w:eastAsia="Times New Roman" w:hAnsi="Times New Roman" w:cs="Times New Roman"/>
          <w:sz w:val="24"/>
          <w:szCs w:val="24"/>
          <w:lang w:eastAsia="en-GB"/>
        </w:rPr>
        <w:t>3.2.9 Comparative Constructions</w:t>
      </w:r>
      <w:bookmarkEnd w:id="1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Karttunen (n.d.), cited in Levinson (1983), establishes that the use of adjective -</w:t>
      </w:r>
      <w:proofErr w:type="spellStart"/>
      <w:r w:rsidRPr="00697EEF">
        <w:rPr>
          <w:rFonts w:ascii="Times New Roman" w:eastAsia="Times New Roman" w:hAnsi="Times New Roman" w:cs="Times New Roman"/>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8" w:name="_Toc505649127"/>
      <w:r w:rsidRPr="00697EEF">
        <w:rPr>
          <w:rFonts w:ascii="Times New Roman" w:eastAsia="Times New Roman" w:hAnsi="Times New Roman" w:cs="Times New Roman"/>
          <w:sz w:val="24"/>
          <w:szCs w:val="24"/>
          <w:lang w:eastAsia="en-GB"/>
        </w:rPr>
        <w:t>3.2.10 “Even” Construction</w:t>
      </w:r>
      <w:bookmarkEnd w:id="18"/>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9" w:name="_Toc505649128"/>
      <w:r w:rsidRPr="00697EEF">
        <w:rPr>
          <w:rFonts w:ascii="Times New Roman" w:eastAsia="Times New Roman" w:hAnsi="Times New Roman" w:cs="Times New Roman"/>
          <w:sz w:val="26"/>
          <w:szCs w:val="26"/>
          <w:lang w:eastAsia="en-GB"/>
        </w:rPr>
        <w:t xml:space="preserve">3.3 LEXICAL </w:t>
      </w:r>
      <w:bookmarkEnd w:id="19"/>
      <w:r w:rsidRPr="00697EEF">
        <w:rPr>
          <w:rFonts w:ascii="Times New Roman" w:eastAsia="Times New Roman" w:hAnsi="Times New Roman" w:cs="Times New Roman"/>
          <w:sz w:val="26"/>
          <w:szCs w:val="26"/>
          <w:lang w:eastAsia="en-GB"/>
        </w:rPr>
        <w:t xml:space="preserve">PRESUPPOSITION </w:t>
      </w:r>
    </w:p>
    <w:p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change of state verbs,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conventional items </w:t>
      </w:r>
      <w:r w:rsidR="00E36B30">
        <w:rPr>
          <w:rFonts w:ascii="Times New Roman" w:eastAsia="Times New Roman" w:hAnsi="Times New Roman" w:cs="Times New Roman"/>
          <w:sz w:val="24"/>
          <w:szCs w:val="24"/>
          <w:lang w:eastAsia="en-GB"/>
        </w:rPr>
        <w:t>were found to be some of these lexical items.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0" w:name="_Toc505649129"/>
      <w:r w:rsidRPr="00697EEF">
        <w:rPr>
          <w:rFonts w:ascii="Times New Roman" w:eastAsia="Times New Roman" w:hAnsi="Times New Roman" w:cs="Times New Roman"/>
          <w:sz w:val="24"/>
          <w:szCs w:val="24"/>
          <w:lang w:eastAsia="en-GB"/>
        </w:rPr>
        <w:t xml:space="preserve">3.3.1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Phrases</w:t>
      </w:r>
      <w:bookmarkEnd w:id="20"/>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is used in the category of verbs which take complement clause, where the addresser assumes the truth of the proposition expressed through the clause. They are therefore called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w:t>
      </w:r>
      <w:proofErr w:type="spellStart"/>
      <w:r w:rsidR="00E36B30">
        <w:rPr>
          <w:rFonts w:ascii="Times New Roman" w:eastAsia="Times New Roman" w:hAnsi="Times New Roman" w:cs="Times New Roman"/>
          <w:sz w:val="24"/>
          <w:szCs w:val="24"/>
          <w:lang w:eastAsia="en-GB"/>
        </w:rPr>
        <w:t>factive</w:t>
      </w:r>
      <w:proofErr w:type="spellEnd"/>
      <w:r w:rsidR="00E36B30">
        <w:rPr>
          <w:rFonts w:ascii="Times New Roman" w:eastAsia="Times New Roman" w:hAnsi="Times New Roman" w:cs="Times New Roman"/>
          <w:sz w:val="24"/>
          <w:szCs w:val="24"/>
          <w:lang w:eastAsia="en-GB"/>
        </w:rPr>
        <w:t xml:space="preser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1"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1"/>
      <w:proofErr w:type="spellEnd"/>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xml:space="preserve">”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2" w:name="_Toc505649131"/>
    </w:p>
    <w:p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2"/>
    </w:p>
    <w:p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 xml:space="preserve">a campaign for reform that envisages civil society becoming a co-partner with local government, </w:t>
      </w:r>
      <w:r w:rsidRPr="00697EEF">
        <w:rPr>
          <w:rFonts w:ascii="Times New Roman" w:eastAsia="Times New Roman" w:hAnsi="Times New Roman" w:cs="Times New Roman"/>
          <w:sz w:val="24"/>
          <w:szCs w:val="24"/>
          <w:lang w:eastAsia="en-GB"/>
        </w:rPr>
        <w:lastRenderedPageBreak/>
        <w:t>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3" w:name="_Toc505649132"/>
      <w:r w:rsidRPr="00697EEF">
        <w:rPr>
          <w:rFonts w:ascii="Times New Roman" w:eastAsia="Times New Roman" w:hAnsi="Times New Roman" w:cs="Times New Roman"/>
          <w:sz w:val="24"/>
          <w:szCs w:val="24"/>
          <w:lang w:eastAsia="en-GB"/>
        </w:rPr>
        <w:t>3.3.4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w:t>
      </w:r>
      <w:bookmarkEnd w:id="23"/>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4" w:name="_Toc505649133"/>
      <w:r w:rsidRPr="00697EEF">
        <w:rPr>
          <w:rFonts w:ascii="Times New Roman" w:eastAsia="Times New Roman" w:hAnsi="Times New Roman" w:cs="Times New Roman"/>
          <w:sz w:val="24"/>
          <w:szCs w:val="24"/>
          <w:lang w:eastAsia="en-GB"/>
        </w:rPr>
        <w:t>3.3.5 Conventional Items</w:t>
      </w:r>
      <w:bookmarkEnd w:id="24"/>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5" w:name="_Toc505649134"/>
    </w:p>
    <w:p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DISCUSSIONS</w:t>
      </w:r>
      <w:bookmarkEnd w:id="25"/>
    </w:p>
    <w:p w:rsidR="00697EEF"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w:t>
      </w:r>
      <w:proofErr w:type="spellStart"/>
      <w:r w:rsidR="003F14D6">
        <w:rPr>
          <w:rFonts w:ascii="Times New Roman" w:eastAsia="Times New Roman" w:hAnsi="Times New Roman" w:cs="Times New Roman"/>
          <w:sz w:val="24"/>
          <w:szCs w:val="24"/>
          <w:lang w:eastAsia="en-GB"/>
        </w:rPr>
        <w:t>factive</w:t>
      </w:r>
      <w:proofErr w:type="spellEnd"/>
      <w:r w:rsidR="003F14D6">
        <w:rPr>
          <w:rFonts w:ascii="Times New Roman" w:eastAsia="Times New Roman" w:hAnsi="Times New Roman" w:cs="Times New Roman"/>
          <w:sz w:val="24"/>
          <w:szCs w:val="24"/>
          <w:lang w:eastAsia="en-GB"/>
        </w:rPr>
        <w:t xml:space="preser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rsidR="00CA22C3" w:rsidRDefault="00CA22C3" w:rsidP="00CA22C3">
      <w:pPr>
        <w:spacing w:line="240" w:lineRule="auto"/>
        <w:jc w:val="both"/>
        <w:rPr>
          <w:rFonts w:ascii="Times New Roman" w:eastAsia="Times New Roman" w:hAnsi="Times New Roman" w:cs="Times New Roman"/>
          <w:sz w:val="24"/>
          <w:szCs w:val="24"/>
          <w:lang w:eastAsia="en-GB"/>
        </w:rPr>
      </w:pPr>
    </w:p>
    <w:p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4.1 Discussion of Presupposition Triggers in DGE</w:t>
      </w:r>
    </w:p>
    <w:p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presents the frequency of the linguistic forms of presupp</w:t>
      </w:r>
      <w:r w:rsidR="003B6293">
        <w:rPr>
          <w:rFonts w:ascii="Times New Roman" w:eastAsia="Times New Roman" w:hAnsi="Times New Roman" w:cs="Times New Roman"/>
          <w:sz w:val="24"/>
          <w:szCs w:val="24"/>
          <w:lang w:eastAsia="en-GB"/>
        </w:rPr>
        <w:t>osition used in the DGE.</w:t>
      </w:r>
    </w:p>
    <w:p w:rsidR="00697EEF" w:rsidRPr="00FD08DD" w:rsidRDefault="00697EEF" w:rsidP="00CA22C3">
      <w:pPr>
        <w:spacing w:line="240" w:lineRule="auto"/>
        <w:rPr>
          <w:rFonts w:ascii="Times New Roman" w:eastAsia="Times New Roman" w:hAnsi="Times New Roman" w:cs="Times New Roman"/>
          <w:b/>
          <w:lang w:eastAsia="en-GB"/>
        </w:rPr>
      </w:pPr>
      <w:r w:rsidRPr="00FD08DD">
        <w:rPr>
          <w:rFonts w:ascii="Times New Roman" w:eastAsia="Times New Roman" w:hAnsi="Times New Roman" w:cs="Times New Roman"/>
          <w:b/>
          <w:lang w:eastAsia="en-GB"/>
        </w:rPr>
        <w:t>Table (1): Existential Presupposition in the DGE</w:t>
      </w:r>
    </w:p>
    <w:tbl>
      <w:tblPr>
        <w:tblStyle w:val="TableGrid1"/>
        <w:tblW w:w="0" w:type="auto"/>
        <w:tblLook w:val="04A0" w:firstRow="1" w:lastRow="0" w:firstColumn="1" w:lastColumn="0" w:noHBand="0" w:noVBand="1"/>
      </w:tblPr>
      <w:tblGrid>
        <w:gridCol w:w="1852"/>
        <w:gridCol w:w="1843"/>
        <w:gridCol w:w="2343"/>
        <w:gridCol w:w="2978"/>
      </w:tblGrid>
      <w:tr w:rsidR="00697EEF" w:rsidRPr="00697EEF" w:rsidTr="002C42FA">
        <w:tc>
          <w:tcPr>
            <w:tcW w:w="9265" w:type="dxa"/>
            <w:gridSpan w:val="4"/>
          </w:tcPr>
          <w:p w:rsidR="00697EEF" w:rsidRPr="00697EEF" w:rsidRDefault="00697EEF" w:rsidP="00CA22C3">
            <w:pPr>
              <w:jc w:val="center"/>
              <w:rPr>
                <w:rFonts w:ascii="Times New Roman"/>
                <w:b/>
                <w:sz w:val="20"/>
                <w:szCs w:val="20"/>
              </w:rPr>
            </w:pPr>
          </w:p>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2C42FA">
        <w:trPr>
          <w:trHeight w:val="1484"/>
        </w:trPr>
        <w:tc>
          <w:tcPr>
            <w:tcW w:w="1901"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906"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84"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3074"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9</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0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84"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3074"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71"/>
        </w:trPr>
        <w:tc>
          <w:tcPr>
            <w:tcW w:w="1901"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06" w:type="dxa"/>
          </w:tcPr>
          <w:p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84" w:type="dxa"/>
          </w:tcPr>
          <w:p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3074"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 used</w:t>
      </w:r>
      <w:r w:rsidR="00FD08DD">
        <w:rPr>
          <w:rFonts w:ascii="Times New Roman" w:eastAsia="Times New Roman" w:hAnsi="Times New Roman" w:cs="Times New Roman"/>
          <w:sz w:val="24"/>
          <w:szCs w:val="24"/>
          <w:lang w:eastAsia="en-GB"/>
        </w:rPr>
        <w:t xml:space="preserve"> in the DGE =109 </w:t>
      </w:r>
    </w:p>
    <w:p w:rsidR="00697EEF" w:rsidRPr="00FD08DD" w:rsidRDefault="00697EEF" w:rsidP="00CA22C3">
      <w:pPr>
        <w:spacing w:line="240" w:lineRule="auto"/>
        <w:rPr>
          <w:rFonts w:ascii="Times New Roman" w:eastAsia="Times New Roman" w:hAnsi="Times New Roman" w:cs="Times New Roman"/>
          <w:b/>
          <w:lang w:eastAsia="en-GB"/>
        </w:rPr>
      </w:pPr>
      <w:r w:rsidRPr="00FD08DD">
        <w:rPr>
          <w:rFonts w:ascii="Times New Roman" w:eastAsia="Times New Roman" w:hAnsi="Times New Roman" w:cs="Times New Roman"/>
          <w:b/>
          <w:lang w:eastAsia="en-GB"/>
        </w:rPr>
        <w:t>Table (2): Structural Presupposition in the DGE</w:t>
      </w:r>
    </w:p>
    <w:tbl>
      <w:tblPr>
        <w:tblStyle w:val="TableGrid2"/>
        <w:tblW w:w="8641" w:type="dxa"/>
        <w:tblInd w:w="-5" w:type="dxa"/>
        <w:tblLook w:val="04A0" w:firstRow="1" w:lastRow="0" w:firstColumn="1" w:lastColumn="0" w:noHBand="0" w:noVBand="1"/>
      </w:tblPr>
      <w:tblGrid>
        <w:gridCol w:w="1334"/>
        <w:gridCol w:w="635"/>
        <w:gridCol w:w="692"/>
        <w:gridCol w:w="720"/>
        <w:gridCol w:w="723"/>
        <w:gridCol w:w="650"/>
        <w:gridCol w:w="764"/>
        <w:gridCol w:w="993"/>
        <w:gridCol w:w="854"/>
        <w:gridCol w:w="1276"/>
      </w:tblGrid>
      <w:tr w:rsidR="00697EEF" w:rsidRPr="00697EEF" w:rsidTr="002C42FA">
        <w:trPr>
          <w:trHeight w:val="405"/>
        </w:trPr>
        <w:tc>
          <w:tcPr>
            <w:tcW w:w="8641" w:type="dxa"/>
            <w:gridSpan w:val="10"/>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rsidTr="002C42FA">
        <w:trPr>
          <w:trHeight w:val="847"/>
        </w:trPr>
        <w:tc>
          <w:tcPr>
            <w:tcW w:w="1038" w:type="dxa"/>
          </w:tcPr>
          <w:p w:rsidR="00697EEF" w:rsidRPr="00697EEF" w:rsidRDefault="00697EEF" w:rsidP="00CA22C3">
            <w:pPr>
              <w:jc w:val="center"/>
              <w:rPr>
                <w:rFonts w:ascii="Times New Roman"/>
                <w:sz w:val="20"/>
                <w:szCs w:val="20"/>
              </w:rPr>
            </w:pPr>
            <w:r w:rsidRPr="00697EEF">
              <w:rPr>
                <w:rFonts w:ascii="Times New Roman"/>
                <w:sz w:val="20"/>
                <w:szCs w:val="20"/>
              </w:rPr>
              <w:t>ED</w:t>
            </w:r>
            <w:r w:rsidR="00FD08DD">
              <w:rPr>
                <w:rFonts w:ascii="Times New Roman"/>
                <w:sz w:val="20"/>
                <w:szCs w:val="20"/>
              </w:rPr>
              <w:t>ITORIAL</w:t>
            </w:r>
            <w:r w:rsidRPr="00697EEF">
              <w:rPr>
                <w:rFonts w:ascii="Times New Roman"/>
                <w:sz w:val="20"/>
                <w:szCs w:val="20"/>
              </w:rPr>
              <w:t>. NO.</w:t>
            </w:r>
          </w:p>
        </w:tc>
        <w:tc>
          <w:tcPr>
            <w:tcW w:w="656" w:type="dxa"/>
          </w:tcPr>
          <w:p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704" w:type="dxa"/>
          </w:tcPr>
          <w:p w:rsidR="00697EEF" w:rsidRPr="00697EEF" w:rsidRDefault="00697EEF" w:rsidP="00CA22C3">
            <w:pPr>
              <w:jc w:val="center"/>
              <w:rPr>
                <w:rFonts w:ascii="Times New Roman"/>
                <w:sz w:val="20"/>
                <w:szCs w:val="20"/>
              </w:rPr>
            </w:pPr>
            <w:r w:rsidRPr="00697EEF">
              <w:rPr>
                <w:rFonts w:ascii="Times New Roman"/>
                <w:sz w:val="20"/>
                <w:szCs w:val="20"/>
              </w:rPr>
              <w:t>IT- CLT.</w:t>
            </w:r>
          </w:p>
        </w:tc>
        <w:tc>
          <w:tcPr>
            <w:tcW w:w="728" w:type="dxa"/>
          </w:tcPr>
          <w:p w:rsidR="00697EEF" w:rsidRPr="00697EEF" w:rsidRDefault="00697EEF" w:rsidP="00CA22C3">
            <w:pPr>
              <w:jc w:val="center"/>
              <w:rPr>
                <w:rFonts w:ascii="Times New Roman"/>
                <w:sz w:val="20"/>
                <w:szCs w:val="20"/>
              </w:rPr>
            </w:pPr>
            <w:r w:rsidRPr="00697EEF">
              <w:rPr>
                <w:rFonts w:ascii="Times New Roman"/>
                <w:sz w:val="20"/>
                <w:szCs w:val="20"/>
              </w:rPr>
              <w:t>WH- CON.</w:t>
            </w:r>
          </w:p>
        </w:tc>
        <w:tc>
          <w:tcPr>
            <w:tcW w:w="732" w:type="dxa"/>
          </w:tcPr>
          <w:p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683" w:type="dxa"/>
          </w:tcPr>
          <w:p w:rsidR="00697EEF" w:rsidRPr="00697EEF" w:rsidRDefault="00697EEF" w:rsidP="00CA22C3">
            <w:pPr>
              <w:jc w:val="center"/>
              <w:rPr>
                <w:rFonts w:ascii="Times New Roman"/>
                <w:sz w:val="20"/>
                <w:szCs w:val="20"/>
              </w:rPr>
            </w:pPr>
            <w:r w:rsidRPr="00697EEF">
              <w:rPr>
                <w:rFonts w:ascii="Times New Roman"/>
                <w:sz w:val="20"/>
                <w:szCs w:val="20"/>
              </w:rPr>
              <w:t>PR. PH.</w:t>
            </w:r>
          </w:p>
        </w:tc>
        <w:tc>
          <w:tcPr>
            <w:tcW w:w="827" w:type="dxa"/>
          </w:tcPr>
          <w:p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999" w:type="dxa"/>
          </w:tcPr>
          <w:p w:rsidR="00697EEF" w:rsidRPr="00697EEF" w:rsidRDefault="00697EEF" w:rsidP="00CA22C3">
            <w:pPr>
              <w:jc w:val="center"/>
              <w:rPr>
                <w:rFonts w:ascii="Times New Roman"/>
                <w:sz w:val="20"/>
                <w:szCs w:val="20"/>
              </w:rPr>
            </w:pPr>
            <w:r w:rsidRPr="00697EEF">
              <w:rPr>
                <w:rFonts w:ascii="Times New Roman"/>
                <w:sz w:val="20"/>
                <w:szCs w:val="20"/>
              </w:rPr>
              <w:t>‘GIVEN’ CON.</w:t>
            </w:r>
          </w:p>
        </w:tc>
        <w:tc>
          <w:tcPr>
            <w:tcW w:w="897" w:type="dxa"/>
          </w:tcPr>
          <w:p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373" w:type="dxa"/>
          </w:tcPr>
          <w:p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lastRenderedPageBreak/>
              <w:t>8</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rPr>
          <w:trHeight w:val="522"/>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508"/>
        </w:trPr>
        <w:tc>
          <w:tcPr>
            <w:tcW w:w="1038"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6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7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73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68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2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9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37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rPr>
          <w:trHeight w:val="236"/>
        </w:trPr>
        <w:tc>
          <w:tcPr>
            <w:tcW w:w="1038" w:type="dxa"/>
          </w:tcPr>
          <w:p w:rsidR="00697EEF" w:rsidRPr="00697EEF" w:rsidRDefault="00697EEF" w:rsidP="00CA22C3">
            <w:pPr>
              <w:jc w:val="both"/>
              <w:rPr>
                <w:rFonts w:ascii="Times New Roman"/>
                <w:b/>
                <w:sz w:val="24"/>
                <w:szCs w:val="24"/>
              </w:rPr>
            </w:pPr>
            <w:r w:rsidRPr="00697EEF">
              <w:rPr>
                <w:rFonts w:ascii="Times New Roman"/>
                <w:b/>
                <w:sz w:val="24"/>
                <w:szCs w:val="24"/>
              </w:rPr>
              <w:t>TOTAL</w:t>
            </w:r>
          </w:p>
        </w:tc>
        <w:tc>
          <w:tcPr>
            <w:tcW w:w="656" w:type="dxa"/>
          </w:tcPr>
          <w:p w:rsidR="00697EEF" w:rsidRPr="00697EEF" w:rsidRDefault="00697EEF" w:rsidP="00CA22C3">
            <w:pPr>
              <w:jc w:val="both"/>
              <w:rPr>
                <w:rFonts w:ascii="Times New Roman"/>
                <w:b/>
                <w:sz w:val="24"/>
                <w:szCs w:val="24"/>
              </w:rPr>
            </w:pPr>
            <w:r w:rsidRPr="00697EEF">
              <w:rPr>
                <w:rFonts w:ascii="Times New Roman"/>
                <w:b/>
                <w:sz w:val="24"/>
                <w:szCs w:val="24"/>
              </w:rPr>
              <w:t>26</w:t>
            </w:r>
          </w:p>
        </w:tc>
        <w:tc>
          <w:tcPr>
            <w:tcW w:w="704" w:type="dxa"/>
          </w:tcPr>
          <w:p w:rsidR="00697EEF" w:rsidRPr="00697EEF" w:rsidRDefault="00697EEF" w:rsidP="00CA22C3">
            <w:pPr>
              <w:jc w:val="both"/>
              <w:rPr>
                <w:rFonts w:ascii="Times New Roman"/>
                <w:b/>
                <w:sz w:val="24"/>
                <w:szCs w:val="24"/>
              </w:rPr>
            </w:pPr>
            <w:r w:rsidRPr="00697EEF">
              <w:rPr>
                <w:rFonts w:ascii="Times New Roman"/>
                <w:b/>
                <w:sz w:val="24"/>
                <w:szCs w:val="24"/>
              </w:rPr>
              <w:t>1</w:t>
            </w:r>
          </w:p>
        </w:tc>
        <w:tc>
          <w:tcPr>
            <w:tcW w:w="728" w:type="dxa"/>
          </w:tcPr>
          <w:p w:rsidR="00697EEF" w:rsidRPr="00697EEF" w:rsidRDefault="00697EEF" w:rsidP="00CA22C3">
            <w:pPr>
              <w:jc w:val="both"/>
              <w:rPr>
                <w:rFonts w:ascii="Times New Roman"/>
                <w:b/>
                <w:sz w:val="24"/>
                <w:szCs w:val="24"/>
              </w:rPr>
            </w:pPr>
            <w:r w:rsidRPr="00697EEF">
              <w:rPr>
                <w:rFonts w:ascii="Times New Roman"/>
                <w:b/>
                <w:sz w:val="24"/>
                <w:szCs w:val="24"/>
              </w:rPr>
              <w:t>19</w:t>
            </w:r>
          </w:p>
        </w:tc>
        <w:tc>
          <w:tcPr>
            <w:tcW w:w="732" w:type="dxa"/>
          </w:tcPr>
          <w:p w:rsidR="00697EEF" w:rsidRPr="00697EEF" w:rsidRDefault="00697EEF" w:rsidP="00CA22C3">
            <w:pPr>
              <w:jc w:val="both"/>
              <w:rPr>
                <w:rFonts w:ascii="Times New Roman"/>
                <w:b/>
                <w:sz w:val="24"/>
                <w:szCs w:val="24"/>
              </w:rPr>
            </w:pPr>
            <w:r w:rsidRPr="00697EEF">
              <w:rPr>
                <w:rFonts w:ascii="Times New Roman"/>
                <w:b/>
                <w:sz w:val="24"/>
                <w:szCs w:val="24"/>
              </w:rPr>
              <w:t>18</w:t>
            </w:r>
          </w:p>
        </w:tc>
        <w:tc>
          <w:tcPr>
            <w:tcW w:w="683" w:type="dxa"/>
          </w:tcPr>
          <w:p w:rsidR="00697EEF" w:rsidRPr="00697EEF" w:rsidRDefault="00697EEF" w:rsidP="00CA22C3">
            <w:pPr>
              <w:jc w:val="both"/>
              <w:rPr>
                <w:rFonts w:ascii="Times New Roman"/>
                <w:b/>
                <w:sz w:val="24"/>
                <w:szCs w:val="24"/>
              </w:rPr>
            </w:pPr>
            <w:r w:rsidRPr="00697EEF">
              <w:rPr>
                <w:rFonts w:ascii="Times New Roman"/>
                <w:b/>
                <w:sz w:val="24"/>
                <w:szCs w:val="24"/>
              </w:rPr>
              <w:t>4</w:t>
            </w:r>
          </w:p>
        </w:tc>
        <w:tc>
          <w:tcPr>
            <w:tcW w:w="827" w:type="dxa"/>
          </w:tcPr>
          <w:p w:rsidR="00697EEF" w:rsidRPr="00697EEF" w:rsidRDefault="00697EEF" w:rsidP="00CA22C3">
            <w:pPr>
              <w:jc w:val="both"/>
              <w:rPr>
                <w:rFonts w:ascii="Times New Roman"/>
                <w:b/>
                <w:sz w:val="24"/>
                <w:szCs w:val="24"/>
              </w:rPr>
            </w:pPr>
            <w:r w:rsidRPr="00697EEF">
              <w:rPr>
                <w:rFonts w:ascii="Times New Roman"/>
                <w:b/>
                <w:sz w:val="24"/>
                <w:szCs w:val="24"/>
              </w:rPr>
              <w:t>30</w:t>
            </w:r>
          </w:p>
        </w:tc>
        <w:tc>
          <w:tcPr>
            <w:tcW w:w="999" w:type="dxa"/>
          </w:tcPr>
          <w:p w:rsidR="00697EEF" w:rsidRPr="00697EEF" w:rsidRDefault="00697EEF" w:rsidP="00CA22C3">
            <w:pPr>
              <w:jc w:val="both"/>
              <w:rPr>
                <w:rFonts w:ascii="Times New Roman"/>
                <w:b/>
                <w:sz w:val="24"/>
                <w:szCs w:val="24"/>
              </w:rPr>
            </w:pPr>
            <w:r w:rsidRPr="00697EEF">
              <w:rPr>
                <w:rFonts w:ascii="Times New Roman"/>
                <w:b/>
                <w:sz w:val="24"/>
                <w:szCs w:val="24"/>
              </w:rPr>
              <w:t>3</w:t>
            </w:r>
          </w:p>
        </w:tc>
        <w:tc>
          <w:tcPr>
            <w:tcW w:w="897" w:type="dxa"/>
          </w:tcPr>
          <w:p w:rsidR="00697EEF" w:rsidRPr="00697EEF" w:rsidRDefault="00697EEF" w:rsidP="00CA22C3">
            <w:pPr>
              <w:jc w:val="both"/>
              <w:rPr>
                <w:rFonts w:ascii="Times New Roman"/>
                <w:b/>
                <w:sz w:val="24"/>
                <w:szCs w:val="24"/>
              </w:rPr>
            </w:pPr>
            <w:r w:rsidRPr="00697EEF">
              <w:rPr>
                <w:rFonts w:ascii="Times New Roman"/>
                <w:b/>
                <w:sz w:val="24"/>
                <w:szCs w:val="24"/>
              </w:rPr>
              <w:t>13</w:t>
            </w:r>
          </w:p>
        </w:tc>
        <w:tc>
          <w:tcPr>
            <w:tcW w:w="1373" w:type="dxa"/>
          </w:tcPr>
          <w:p w:rsidR="00697EEF" w:rsidRPr="00697EEF" w:rsidRDefault="00697EEF" w:rsidP="00CA22C3">
            <w:pPr>
              <w:jc w:val="both"/>
              <w:rPr>
                <w:rFonts w:ascii="Times New Roman"/>
                <w:b/>
                <w:sz w:val="24"/>
                <w:szCs w:val="24"/>
              </w:rPr>
            </w:pPr>
            <w:r w:rsidRPr="00697EEF">
              <w:rPr>
                <w:rFonts w:ascii="Times New Roman"/>
                <w:b/>
                <w:sz w:val="24"/>
                <w:szCs w:val="24"/>
              </w:rPr>
              <w:t>5</w:t>
            </w:r>
          </w:p>
        </w:tc>
      </w:tr>
    </w:tbl>
    <w:p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FD08DD">
        <w:rPr>
          <w:rFonts w:ascii="Times New Roman" w:eastAsia="Times New Roman" w:hAnsi="Times New Roman" w:cs="Times New Roman"/>
          <w:sz w:val="24"/>
          <w:szCs w:val="24"/>
          <w:lang w:eastAsia="en-GB"/>
        </w:rPr>
        <w:t>structural presupposition = 119</w:t>
      </w:r>
    </w:p>
    <w:p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rsidR="00697EEF" w:rsidRPr="00FD08DD" w:rsidRDefault="00697EEF" w:rsidP="00CA22C3">
      <w:pPr>
        <w:spacing w:line="240" w:lineRule="auto"/>
        <w:jc w:val="both"/>
        <w:rPr>
          <w:rFonts w:ascii="Times New Roman" w:eastAsia="Times New Roman" w:hAnsi="Times New Roman" w:cs="Times New Roman"/>
          <w:b/>
          <w:lang w:eastAsia="en-GB"/>
        </w:rPr>
      </w:pPr>
      <w:r w:rsidRPr="00FD08DD">
        <w:rPr>
          <w:rFonts w:ascii="Times New Roman" w:eastAsia="Times New Roman" w:hAnsi="Times New Roman" w:cs="Times New Roman"/>
          <w:b/>
          <w:lang w:eastAsia="en-GB"/>
        </w:rPr>
        <w:t>Table (3): Lexical Presupposition in the DGE</w:t>
      </w:r>
    </w:p>
    <w:tbl>
      <w:tblPr>
        <w:tblStyle w:val="TableGrid"/>
        <w:tblW w:w="9270" w:type="dxa"/>
        <w:tblInd w:w="85" w:type="dxa"/>
        <w:tblLook w:val="04A0" w:firstRow="1" w:lastRow="0" w:firstColumn="1" w:lastColumn="0" w:noHBand="0" w:noVBand="1"/>
      </w:tblPr>
      <w:tblGrid>
        <w:gridCol w:w="1548"/>
        <w:gridCol w:w="1999"/>
        <w:gridCol w:w="1998"/>
        <w:gridCol w:w="1998"/>
        <w:gridCol w:w="1727"/>
      </w:tblGrid>
      <w:tr w:rsidR="00697EEF" w:rsidRPr="00697EEF" w:rsidTr="002C42FA">
        <w:trPr>
          <w:trHeight w:val="440"/>
        </w:trPr>
        <w:tc>
          <w:tcPr>
            <w:tcW w:w="9270" w:type="dxa"/>
            <w:gridSpan w:val="5"/>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2C42FA">
        <w:trPr>
          <w:trHeight w:val="1448"/>
        </w:trPr>
        <w:tc>
          <w:tcPr>
            <w:tcW w:w="1548"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1727" w:type="dxa"/>
          </w:tcPr>
          <w:p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72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727"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 in the DGE = 30</w:t>
      </w:r>
    </w:p>
    <w:p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all, two hundred and fifty-eight (258)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Pr="00697EEF">
        <w:rPr>
          <w:rFonts w:ascii="Times New Roman" w:eastAsia="Times New Roman" w:hAnsi="Times New Roman" w:cs="Times New Roman"/>
          <w:sz w:val="24"/>
          <w:szCs w:val="24"/>
          <w:lang w:eastAsia="en-GB"/>
        </w:rPr>
        <w:t>46%</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existential presupposition with 42.2% and the lexical </w:t>
      </w:r>
      <w:r w:rsidRPr="00697EEF">
        <w:rPr>
          <w:rFonts w:ascii="Times New Roman" w:eastAsia="Times New Roman" w:hAnsi="Times New Roman" w:cs="Times New Roman"/>
          <w:sz w:val="24"/>
          <w:szCs w:val="24"/>
          <w:lang w:eastAsia="en-GB"/>
        </w:rPr>
        <w:lastRenderedPageBreak/>
        <w:t>presupposition taking the remaining 11.6%.</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391955">
        <w:rPr>
          <w:rFonts w:ascii="Times New Roman" w:eastAsia="Times New Roman" w:hAnsi="Times New Roman" w:cs="Times New Roman"/>
          <w:sz w:val="24"/>
          <w:szCs w:val="24"/>
          <w:lang w:eastAsia="en-GB"/>
        </w:rPr>
        <w:t>s out of the total of 119.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Pr>
          <w:rFonts w:ascii="Times New Roman" w:eastAsia="Times New Roman" w:hAnsi="Times New Roman" w:cs="Times New Roman"/>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 readers are convinced into accepting the claim of the relative clause as a fact about the antecedent. Adverbial clauses serve as adverbial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rsidR="00697EEF" w:rsidRPr="003B6293" w:rsidRDefault="00697EEF" w:rsidP="00CA22C3">
      <w:pPr>
        <w:spacing w:line="240" w:lineRule="auto"/>
        <w:rPr>
          <w:rFonts w:ascii="Times New Roman" w:eastAsia="Times New Roman" w:hAnsi="Times New Roman" w:cs="Times New Roman"/>
          <w:b/>
          <w:lang w:eastAsia="en-GB"/>
        </w:rPr>
      </w:pPr>
      <w:r w:rsidRPr="003B6293">
        <w:rPr>
          <w:rFonts w:ascii="Times New Roman" w:eastAsia="Times New Roman" w:hAnsi="Times New Roman" w:cs="Times New Roman"/>
          <w:b/>
          <w:lang w:eastAsia="en-GB"/>
        </w:rPr>
        <w:t>Table (4):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rsidTr="002C42FA">
        <w:trPr>
          <w:trHeight w:val="719"/>
        </w:trPr>
        <w:tc>
          <w:tcPr>
            <w:tcW w:w="7925" w:type="dxa"/>
            <w:gridSpan w:val="4"/>
          </w:tcPr>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2C42FA">
        <w:trPr>
          <w:trHeight w:val="1484"/>
        </w:trPr>
        <w:tc>
          <w:tcPr>
            <w:tcW w:w="1496"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rPr>
          <w:trHeight w:val="71"/>
        </w:trPr>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77</w:t>
            </w:r>
          </w:p>
        </w:tc>
      </w:tr>
    </w:tbl>
    <w:p w:rsid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 in the GNE = 282</w:t>
      </w:r>
    </w:p>
    <w:p w:rsidR="00B46444" w:rsidRDefault="00B46444" w:rsidP="00CA22C3">
      <w:pPr>
        <w:spacing w:line="240" w:lineRule="auto"/>
        <w:jc w:val="both"/>
        <w:rPr>
          <w:rFonts w:ascii="Times New Roman" w:eastAsia="Times New Roman" w:hAnsi="Times New Roman" w:cs="Times New Roman"/>
          <w:sz w:val="24"/>
          <w:szCs w:val="24"/>
          <w:lang w:eastAsia="en-GB"/>
        </w:rPr>
      </w:pPr>
    </w:p>
    <w:p w:rsidR="00B46444" w:rsidRDefault="00B46444" w:rsidP="00CA22C3">
      <w:pPr>
        <w:spacing w:line="240" w:lineRule="auto"/>
        <w:jc w:val="both"/>
        <w:rPr>
          <w:rFonts w:ascii="Times New Roman" w:eastAsia="Times New Roman" w:hAnsi="Times New Roman" w:cs="Times New Roman"/>
          <w:sz w:val="24"/>
          <w:szCs w:val="24"/>
          <w:lang w:eastAsia="en-GB"/>
        </w:rPr>
      </w:pPr>
    </w:p>
    <w:p w:rsidR="00CA22C3" w:rsidRDefault="00CA22C3" w:rsidP="00CA22C3">
      <w:pPr>
        <w:spacing w:line="240" w:lineRule="auto"/>
        <w:jc w:val="both"/>
        <w:rPr>
          <w:rFonts w:ascii="Times New Roman" w:eastAsia="Times New Roman" w:hAnsi="Times New Roman" w:cs="Times New Roman"/>
          <w:sz w:val="24"/>
          <w:szCs w:val="24"/>
          <w:lang w:eastAsia="en-GB"/>
        </w:rPr>
      </w:pPr>
    </w:p>
    <w:p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rsidR="00697EEF" w:rsidRPr="003B6293" w:rsidRDefault="00697EEF" w:rsidP="00CA22C3">
      <w:pPr>
        <w:spacing w:line="240" w:lineRule="auto"/>
        <w:jc w:val="both"/>
        <w:rPr>
          <w:rFonts w:ascii="Times New Roman" w:eastAsia="Times New Roman" w:hAnsi="Times New Roman" w:cs="Times New Roman"/>
          <w:b/>
          <w:lang w:eastAsia="en-GB"/>
        </w:rPr>
      </w:pPr>
      <w:r w:rsidRPr="003B6293">
        <w:rPr>
          <w:rFonts w:ascii="Times New Roman" w:eastAsia="Times New Roman" w:hAnsi="Times New Roman" w:cs="Times New Roman"/>
          <w:b/>
          <w:lang w:eastAsia="en-GB"/>
        </w:rPr>
        <w:lastRenderedPageBreak/>
        <w:t>Table (5): Structural Presupposition in the GNE</w:t>
      </w:r>
    </w:p>
    <w:tbl>
      <w:tblPr>
        <w:tblStyle w:val="TableGrid"/>
        <w:tblW w:w="9810" w:type="dxa"/>
        <w:tblInd w:w="-5" w:type="dxa"/>
        <w:tblLook w:val="04A0" w:firstRow="1" w:lastRow="0" w:firstColumn="1" w:lastColumn="0" w:noHBand="0" w:noVBand="1"/>
      </w:tblPr>
      <w:tblGrid>
        <w:gridCol w:w="2242"/>
        <w:gridCol w:w="852"/>
        <w:gridCol w:w="1037"/>
        <w:gridCol w:w="1004"/>
        <w:gridCol w:w="929"/>
        <w:gridCol w:w="1113"/>
        <w:gridCol w:w="1194"/>
        <w:gridCol w:w="1439"/>
      </w:tblGrid>
      <w:tr w:rsidR="00697EEF" w:rsidRPr="00697EEF" w:rsidTr="002C42FA">
        <w:trPr>
          <w:trHeight w:val="431"/>
        </w:trPr>
        <w:tc>
          <w:tcPr>
            <w:tcW w:w="9810" w:type="dxa"/>
            <w:gridSpan w:val="8"/>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rsidTr="002C42FA">
        <w:trPr>
          <w:trHeight w:val="899"/>
        </w:trPr>
        <w:tc>
          <w:tcPr>
            <w:tcW w:w="2242" w:type="dxa"/>
          </w:tcPr>
          <w:p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852" w:type="dxa"/>
          </w:tcPr>
          <w:p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1037" w:type="dxa"/>
          </w:tcPr>
          <w:p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1004" w:type="dxa"/>
          </w:tcPr>
          <w:p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929" w:type="dxa"/>
          </w:tcPr>
          <w:p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113" w:type="dxa"/>
          </w:tcPr>
          <w:p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194" w:type="dxa"/>
          </w:tcPr>
          <w:p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1439" w:type="dxa"/>
          </w:tcPr>
          <w:p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5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3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0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2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11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19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439"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2242"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85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037"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04"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29" w:type="dxa"/>
          </w:tcPr>
          <w:p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113"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194"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439"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 in the GNE = 97</w:t>
      </w:r>
    </w:p>
    <w:p w:rsid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rsidR="003B6293" w:rsidRPr="00697EEF" w:rsidRDefault="003B6293"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lang w:eastAsia="en-GB"/>
        </w:rPr>
      </w:pPr>
      <w:r w:rsidRPr="00697EEF">
        <w:rPr>
          <w:rFonts w:ascii="Times New Roman" w:eastAsia="Times New Roman" w:hAnsi="Times New Roman" w:cs="Times New Roman"/>
          <w:lang w:eastAsia="en-GB"/>
        </w:rPr>
        <w:t>Table (6): Lexical Presupposition in the GNE</w:t>
      </w:r>
    </w:p>
    <w:tbl>
      <w:tblPr>
        <w:tblStyle w:val="TableGrid"/>
        <w:tblW w:w="9540" w:type="dxa"/>
        <w:tblInd w:w="-5" w:type="dxa"/>
        <w:tblLook w:val="04A0" w:firstRow="1" w:lastRow="0" w:firstColumn="1" w:lastColumn="0" w:noHBand="0" w:noVBand="1"/>
      </w:tblPr>
      <w:tblGrid>
        <w:gridCol w:w="1283"/>
        <w:gridCol w:w="1938"/>
        <w:gridCol w:w="1551"/>
        <w:gridCol w:w="1850"/>
        <w:gridCol w:w="1546"/>
        <w:gridCol w:w="1372"/>
      </w:tblGrid>
      <w:tr w:rsidR="00697EEF" w:rsidRPr="00697EEF" w:rsidTr="002C42FA">
        <w:tc>
          <w:tcPr>
            <w:tcW w:w="9540" w:type="dxa"/>
            <w:gridSpan w:val="6"/>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2C42FA">
        <w:tc>
          <w:tcPr>
            <w:tcW w:w="1283"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54" w:type="dxa"/>
          </w:tcPr>
          <w:p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600" w:type="dxa"/>
          </w:tcPr>
          <w:p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6" w:type="dxa"/>
          </w:tcPr>
          <w:p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600"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1247"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54"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60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24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54"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600"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6"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600"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247"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 = 25</w:t>
      </w:r>
    </w:p>
    <w:p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6" w:name="_Toc505649135"/>
      <w:r w:rsidRPr="00697EEF">
        <w:rPr>
          <w:rFonts w:ascii="Times New Roman" w:eastAsia="Times New Roman" w:hAnsi="Times New Roman" w:cs="Times New Roman"/>
          <w:b/>
          <w:sz w:val="28"/>
          <w:szCs w:val="28"/>
          <w:lang w:eastAsia="en-GB"/>
        </w:rPr>
        <w:t>5.0 CONCLUSION</w:t>
      </w:r>
      <w:bookmarkEnd w:id="2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to trigger structural presupposition is the relative clause; and for lexical presupposition,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phrases were used mostly. The noticeable difference between the two is that in the DGE, the structural presupposition is the most triggered (46.1%) whilst the existential presupposition (69.8%) is</w:t>
      </w:r>
      <w:r w:rsidR="00227BDD">
        <w:rPr>
          <w:rFonts w:ascii="Times New Roman" w:eastAsia="Times New Roman" w:hAnsi="Times New Roman" w:cs="Times New Roman"/>
          <w:sz w:val="24"/>
          <w:szCs w:val="24"/>
          <w:lang w:eastAsia="en-GB"/>
        </w:rPr>
        <w:t xml:space="preserve"> the most triggered in the GNE. </w:t>
      </w:r>
      <w:r w:rsidRPr="00697EEF">
        <w:rPr>
          <w:rFonts w:ascii="Times New Roman" w:eastAsia="Times New Roman" w:hAnsi="Times New Roman" w:cs="Times New Roman"/>
          <w:sz w:val="24"/>
          <w:szCs w:val="24"/>
          <w:lang w:eastAsia="en-GB"/>
        </w:rPr>
        <w:t xml:space="preserve">With the existential presupposition keenly competing in terms of percentage with the structural presupposition (Existential = 42.2%, Structural = 46.1%)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rsidR="00697EEF" w:rsidRPr="00697EEF" w:rsidRDefault="00697EEF" w:rsidP="00CA22C3">
      <w:pPr>
        <w:spacing w:line="240" w:lineRule="auto"/>
        <w:rPr>
          <w:rFonts w:eastAsia="Times New Roman" w:hAnsi="Times New Roman" w:cs="Times New Roman"/>
          <w:lang w:eastAsia="en-GB"/>
        </w:rPr>
      </w:pPr>
    </w:p>
    <w:p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EndPr/>
      <w:sdtContent>
        <w:p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EndPr/>
          <w:sdtContent>
            <w:p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bookmarkStart w:id="27" w:name="_GoBack"/>
              <w:bookmarkEnd w:id="27"/>
            </w:p>
            <w:p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rsidR="00610155" w:rsidRPr="002B58CD" w:rsidRDefault="00610155" w:rsidP="00CA22C3">
              <w:pPr>
                <w:pStyle w:val="Bibliography"/>
                <w:spacing w:line="240" w:lineRule="auto"/>
                <w:ind w:left="720" w:hanging="720"/>
                <w:rPr>
                  <w:noProof/>
                </w:rPr>
              </w:pPr>
              <w:r w:rsidRPr="002B58CD">
                <w:rPr>
                  <w:noProof/>
                </w:rPr>
                <w:lastRenderedPageBreak/>
                <w:t xml:space="preserve">Crystal, D. (1997). </w:t>
              </w:r>
              <w:r w:rsidRPr="002B58CD">
                <w:rPr>
                  <w:i/>
                  <w:iCs/>
                  <w:noProof/>
                </w:rPr>
                <w:t>A Dictionary of Linguistics and Phonetics.</w:t>
              </w:r>
              <w:r w:rsidRPr="002B58CD">
                <w:rPr>
                  <w:noProof/>
                </w:rPr>
                <w:t xml:space="preserve"> Oxford: Blackwell Publishers Ltd.</w:t>
              </w:r>
            </w:p>
            <w:p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rsidR="00610155" w:rsidRPr="002B58CD" w:rsidRDefault="00610155" w:rsidP="00CA22C3">
              <w:pPr>
                <w:pStyle w:val="Bibliography"/>
                <w:spacing w:line="240" w:lineRule="auto"/>
                <w:ind w:left="720" w:hanging="720"/>
                <w:rPr>
                  <w:noProof/>
                </w:rPr>
              </w:pPr>
              <w:r w:rsidRPr="002B58CD">
                <w:rPr>
                  <w:noProof/>
                </w:rPr>
                <w:t xml:space="preserve">Kachru, Y. (1995). </w:t>
              </w:r>
              <w:r w:rsidRPr="002B58CD">
                <w:rPr>
                  <w:i/>
                  <w:iCs/>
                  <w:noProof/>
                </w:rPr>
                <w:t>Cultural Meaning and Rhetorical Styles: Toward a Framework for Constrastive Rhetoric.</w:t>
              </w:r>
              <w:r w:rsidRPr="002B58CD">
                <w:rPr>
                  <w:noProof/>
                </w:rPr>
                <w:t xml:space="preserve"> Oxford: Oxford University Press.</w:t>
              </w:r>
            </w:p>
            <w:p w:rsidR="00610155" w:rsidRPr="002B58CD" w:rsidRDefault="00610155" w:rsidP="00CA22C3">
              <w:pPr>
                <w:pStyle w:val="Bibliography"/>
                <w:spacing w:line="240" w:lineRule="auto"/>
                <w:ind w:left="720" w:hanging="720"/>
                <w:rPr>
                  <w:noProof/>
                </w:rPr>
              </w:pPr>
              <w:r w:rsidRPr="002B58CD">
                <w:rPr>
                  <w:noProof/>
                </w:rPr>
                <w:t xml:space="preserve">Karttunen. (n.d.). Presuppositional Phenomena. Mimeo. Department of Linguistics, University of Texas, Austin. In Levinson, S., C. (1983) </w:t>
              </w:r>
              <w:r w:rsidRPr="002B58CD">
                <w:rPr>
                  <w:i/>
                  <w:iCs/>
                  <w:noProof/>
                </w:rPr>
                <w:t xml:space="preserve">Pragmatics. </w:t>
              </w:r>
              <w:r w:rsidRPr="002B58CD">
                <w:rPr>
                  <w:noProof/>
                </w:rPr>
                <w:t xml:space="preserve"> Cambridge: Cambridge University Press(pp. 181-4). </w:t>
              </w:r>
            </w:p>
            <w:p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rsidR="00610155" w:rsidRPr="002B58CD" w:rsidRDefault="00610155" w:rsidP="00CA22C3">
              <w:pPr>
                <w:pStyle w:val="Bibliography"/>
                <w:spacing w:line="240" w:lineRule="auto"/>
                <w:ind w:left="720" w:hanging="720"/>
                <w:rPr>
                  <w:noProof/>
                </w:rPr>
              </w:pPr>
              <w:r w:rsidRPr="002B58CD">
                <w:rPr>
                  <w:noProof/>
                </w:rPr>
                <w:t xml:space="preserve">Leech, G. N. (1981). </w:t>
              </w:r>
              <w:r w:rsidRPr="002B58CD">
                <w:rPr>
                  <w:i/>
                  <w:iCs/>
                  <w:noProof/>
                </w:rPr>
                <w:t>Semantics: The Study of Meaning.</w:t>
              </w:r>
              <w:r w:rsidRPr="002B58CD">
                <w:rPr>
                  <w:noProof/>
                </w:rPr>
                <w:t xml:space="preserve"> Harmondsworth: Penguin.</w:t>
              </w:r>
            </w:p>
            <w:p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lastRenderedPageBreak/>
                <w:t xml:space="preserve">Waterson, N., &amp; Snow, C. (1978). </w:t>
              </w:r>
              <w:r w:rsidRPr="002B58CD">
                <w:rPr>
                  <w:i/>
                  <w:iCs/>
                  <w:noProof/>
                </w:rPr>
                <w:t>The Development of Communication.</w:t>
              </w:r>
              <w:r w:rsidRPr="002B58CD">
                <w:rPr>
                  <w:noProof/>
                </w:rPr>
                <w:t xml:space="preserve"> New York: Wiley.</w:t>
              </w:r>
            </w:p>
            <w:p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rsidR="00697EEF" w:rsidRPr="006A1AB8" w:rsidRDefault="001F33DF" w:rsidP="00CA22C3">
              <w:pPr>
                <w:spacing w:line="240" w:lineRule="auto"/>
                <w:rPr>
                  <w:rFonts w:eastAsia="Times New Roman" w:hAnsi="Times New Roman" w:cs="Times New Roman"/>
                  <w:lang w:eastAsia="en-GB"/>
                </w:rPr>
              </w:pPr>
            </w:p>
          </w:sdtContent>
        </w:sdt>
      </w:sdtContent>
    </w:sdt>
    <w:p w:rsidR="00697EEF" w:rsidRPr="00697EEF" w:rsidRDefault="00697EEF" w:rsidP="00CA22C3">
      <w:pPr>
        <w:spacing w:line="240" w:lineRule="auto"/>
        <w:rPr>
          <w:rFonts w:eastAsia="Times New Roman" w:hAnsi="Times New Roman" w:cs="Times New Roman"/>
          <w:lang w:eastAsia="en-GB"/>
        </w:rPr>
      </w:pPr>
    </w:p>
    <w:p w:rsidR="00C6643C" w:rsidRDefault="00C6643C" w:rsidP="00CA22C3">
      <w:pPr>
        <w:spacing w:line="240" w:lineRule="auto"/>
      </w:pPr>
    </w:p>
    <w:sectPr w:rsidR="00C6643C">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3DF" w:rsidRDefault="001F33DF" w:rsidP="00732120">
      <w:pPr>
        <w:spacing w:after="0" w:line="240" w:lineRule="auto"/>
      </w:pPr>
      <w:r>
        <w:separator/>
      </w:r>
    </w:p>
  </w:endnote>
  <w:endnote w:type="continuationSeparator" w:id="0">
    <w:p w:rsidR="001F33DF" w:rsidRDefault="001F33DF"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064282"/>
      <w:docPartObj>
        <w:docPartGallery w:val="Page Numbers (Bottom of Page)"/>
        <w:docPartUnique/>
      </w:docPartObj>
    </w:sdtPr>
    <w:sdtEndPr>
      <w:rPr>
        <w:noProof/>
      </w:rPr>
    </w:sdtEndPr>
    <w:sdtContent>
      <w:p w:rsidR="005D4774" w:rsidRDefault="005D4774">
        <w:pPr>
          <w:pStyle w:val="Footer"/>
          <w:jc w:val="right"/>
        </w:pPr>
        <w:r>
          <w:fldChar w:fldCharType="begin"/>
        </w:r>
        <w:r>
          <w:instrText xml:space="preserve"> PAGE   \* MERGEFORMAT </w:instrText>
        </w:r>
        <w:r>
          <w:fldChar w:fldCharType="separate"/>
        </w:r>
        <w:r w:rsidR="007005D1">
          <w:rPr>
            <w:noProof/>
          </w:rPr>
          <w:t>20</w:t>
        </w:r>
        <w:r>
          <w:rPr>
            <w:noProof/>
          </w:rPr>
          <w:fldChar w:fldCharType="end"/>
        </w:r>
      </w:p>
    </w:sdtContent>
  </w:sdt>
  <w:p w:rsidR="005D4774" w:rsidRDefault="005D4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3DF" w:rsidRDefault="001F33DF" w:rsidP="00732120">
      <w:pPr>
        <w:spacing w:after="0" w:line="240" w:lineRule="auto"/>
      </w:pPr>
      <w:r>
        <w:separator/>
      </w:r>
    </w:p>
  </w:footnote>
  <w:footnote w:type="continuationSeparator" w:id="0">
    <w:p w:rsidR="001F33DF" w:rsidRDefault="001F33DF" w:rsidP="00732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39"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2"/>
  </w:num>
  <w:num w:numId="3">
    <w:abstractNumId w:val="24"/>
  </w:num>
  <w:num w:numId="4">
    <w:abstractNumId w:val="23"/>
  </w:num>
  <w:num w:numId="5">
    <w:abstractNumId w:val="37"/>
  </w:num>
  <w:num w:numId="6">
    <w:abstractNumId w:val="22"/>
  </w:num>
  <w:num w:numId="7">
    <w:abstractNumId w:val="5"/>
  </w:num>
  <w:num w:numId="8">
    <w:abstractNumId w:val="20"/>
  </w:num>
  <w:num w:numId="9">
    <w:abstractNumId w:val="12"/>
  </w:num>
  <w:num w:numId="10">
    <w:abstractNumId w:val="39"/>
  </w:num>
  <w:num w:numId="11">
    <w:abstractNumId w:val="38"/>
  </w:num>
  <w:num w:numId="12">
    <w:abstractNumId w:val="34"/>
  </w:num>
  <w:num w:numId="13">
    <w:abstractNumId w:val="33"/>
  </w:num>
  <w:num w:numId="14">
    <w:abstractNumId w:val="21"/>
  </w:num>
  <w:num w:numId="15">
    <w:abstractNumId w:val="6"/>
  </w:num>
  <w:num w:numId="16">
    <w:abstractNumId w:val="2"/>
  </w:num>
  <w:num w:numId="17">
    <w:abstractNumId w:val="31"/>
  </w:num>
  <w:num w:numId="18">
    <w:abstractNumId w:val="30"/>
  </w:num>
  <w:num w:numId="19">
    <w:abstractNumId w:val="10"/>
  </w:num>
  <w:num w:numId="20">
    <w:abstractNumId w:val="4"/>
  </w:num>
  <w:num w:numId="21">
    <w:abstractNumId w:val="16"/>
  </w:num>
  <w:num w:numId="22">
    <w:abstractNumId w:val="36"/>
  </w:num>
  <w:num w:numId="23">
    <w:abstractNumId w:val="13"/>
  </w:num>
  <w:num w:numId="24">
    <w:abstractNumId w:val="19"/>
  </w:num>
  <w:num w:numId="25">
    <w:abstractNumId w:val="17"/>
  </w:num>
  <w:num w:numId="26">
    <w:abstractNumId w:val="18"/>
  </w:num>
  <w:num w:numId="27">
    <w:abstractNumId w:val="26"/>
  </w:num>
  <w:num w:numId="28">
    <w:abstractNumId w:val="28"/>
  </w:num>
  <w:num w:numId="29">
    <w:abstractNumId w:val="15"/>
  </w:num>
  <w:num w:numId="30">
    <w:abstractNumId w:val="35"/>
  </w:num>
  <w:num w:numId="31">
    <w:abstractNumId w:val="25"/>
  </w:num>
  <w:num w:numId="32">
    <w:abstractNumId w:val="8"/>
  </w:num>
  <w:num w:numId="33">
    <w:abstractNumId w:val="7"/>
  </w:num>
  <w:num w:numId="34">
    <w:abstractNumId w:val="9"/>
  </w:num>
  <w:num w:numId="35">
    <w:abstractNumId w:val="11"/>
  </w:num>
  <w:num w:numId="36">
    <w:abstractNumId w:val="3"/>
  </w:num>
  <w:num w:numId="37">
    <w:abstractNumId w:val="14"/>
  </w:num>
  <w:num w:numId="38">
    <w:abstractNumId w:val="29"/>
  </w:num>
  <w:num w:numId="39">
    <w:abstractNumId w:val="2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EF"/>
    <w:rsid w:val="00001EA5"/>
    <w:rsid w:val="0002678F"/>
    <w:rsid w:val="00097E63"/>
    <w:rsid w:val="000C4E42"/>
    <w:rsid w:val="001131F2"/>
    <w:rsid w:val="0013260E"/>
    <w:rsid w:val="001F33DF"/>
    <w:rsid w:val="00227BDD"/>
    <w:rsid w:val="00281891"/>
    <w:rsid w:val="002B58CD"/>
    <w:rsid w:val="002C42FA"/>
    <w:rsid w:val="002D338C"/>
    <w:rsid w:val="00362F88"/>
    <w:rsid w:val="00363FC8"/>
    <w:rsid w:val="00391955"/>
    <w:rsid w:val="003B6293"/>
    <w:rsid w:val="003F14D6"/>
    <w:rsid w:val="00441521"/>
    <w:rsid w:val="004C7869"/>
    <w:rsid w:val="005428FB"/>
    <w:rsid w:val="00573D55"/>
    <w:rsid w:val="005941CA"/>
    <w:rsid w:val="0059491B"/>
    <w:rsid w:val="005B3D6A"/>
    <w:rsid w:val="005D4774"/>
    <w:rsid w:val="005F513F"/>
    <w:rsid w:val="006079BF"/>
    <w:rsid w:val="00610155"/>
    <w:rsid w:val="00660625"/>
    <w:rsid w:val="00672700"/>
    <w:rsid w:val="00697EEF"/>
    <w:rsid w:val="006A1AB8"/>
    <w:rsid w:val="006D5993"/>
    <w:rsid w:val="007005D1"/>
    <w:rsid w:val="00732120"/>
    <w:rsid w:val="00833ACD"/>
    <w:rsid w:val="008401B5"/>
    <w:rsid w:val="00930C3E"/>
    <w:rsid w:val="009A2B7C"/>
    <w:rsid w:val="009C4488"/>
    <w:rsid w:val="009D1BDD"/>
    <w:rsid w:val="00AE67B8"/>
    <w:rsid w:val="00B46444"/>
    <w:rsid w:val="00BE17F5"/>
    <w:rsid w:val="00C62CAD"/>
    <w:rsid w:val="00C6643C"/>
    <w:rsid w:val="00C966CC"/>
    <w:rsid w:val="00CA22C3"/>
    <w:rsid w:val="00CE5956"/>
    <w:rsid w:val="00D918E1"/>
    <w:rsid w:val="00E36B30"/>
    <w:rsid w:val="00E65ECD"/>
    <w:rsid w:val="00E940FF"/>
    <w:rsid w:val="00EB0A6B"/>
    <w:rsid w:val="00ED559E"/>
    <w:rsid w:val="00FB703A"/>
    <w:rsid w:val="00FD0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 w:type="paragraph" w:styleId="BalloonText">
    <w:name w:val="Balloon Text"/>
    <w:basedOn w:val="Normal"/>
    <w:link w:val="BalloonTextChar"/>
    <w:uiPriority w:val="99"/>
    <w:semiHidden/>
    <w:unhideWhenUsed/>
    <w:rsid w:val="00BE17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Yam95</b:Tag>
    <b:SourceType>Book</b:SourceType>
    <b:Guid>{2D4E4946-E88A-425B-A3B9-D90BFC5C4827}</b:Guid>
    <b:Author>
      <b:Author>
        <b:NameList>
          <b:Person>
            <b:Last>Kachru</b:Last>
            <b:First>Yamuna</b:First>
          </b:Person>
        </b:NameList>
      </b:Author>
    </b:Author>
    <b:Title>Cultural Meaning and Rhetorical Styles: Toward a Framework for Constrastive Rhetoric.</b:Title>
    <b:Year>1995</b:Year>
    <b:City>Oxford</b:City>
    <b:Publisher>Oxford University Press</b:Publisher>
    <b:RefOrder>19</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20</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21</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22</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23</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24</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25</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26</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27</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28</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29</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30</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31</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32</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13</b:RefOrder>
  </b:Source>
</b:Sources>
</file>

<file path=customXml/itemProps1.xml><?xml version="1.0" encoding="utf-8"?>
<ds:datastoreItem xmlns:ds="http://schemas.openxmlformats.org/officeDocument/2006/customXml" ds:itemID="{FB5E1161-E544-4D68-8C78-6695714EB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7306</Words>
  <Characters>41648</Characters>
  <Application>Microsoft Office Word</Application>
  <DocSecurity>0</DocSecurity>
  <Lines>347</Lines>
  <Paragraphs>97</Paragraphs>
  <ScaleCrop>false</ScaleCrop>
  <Company/>
  <LinksUpToDate>false</LinksUpToDate>
  <CharactersWithSpaces>48857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2019-03-16T08:15:00Z</dcterms:created>
  <dcterms:modified xsi:type="dcterms:W3CDTF">2019-03-16T08:16:00Z</dcterms:modified>
</cp:coreProperties>
</file>