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13E9A" w14:textId="77777777" w:rsidR="00D426D1" w:rsidRDefault="00D426D1" w:rsidP="007D05A3">
      <w:pPr>
        <w:spacing w:line="240" w:lineRule="auto"/>
        <w:jc w:val="center"/>
        <w:rPr>
          <w:rFonts w:ascii="Times New Roman" w:hAnsi="Times New Roman"/>
          <w:b/>
          <w:sz w:val="32"/>
          <w:szCs w:val="32"/>
        </w:rPr>
      </w:pPr>
      <w:r w:rsidRPr="007A1BAF">
        <w:rPr>
          <w:rFonts w:ascii="Times New Roman" w:hAnsi="Times New Roman"/>
          <w:b/>
          <w:sz w:val="32"/>
          <w:szCs w:val="32"/>
        </w:rPr>
        <w:t>BILINGUALISM AND THE PSYCHOLOGY OF COLORS</w:t>
      </w:r>
    </w:p>
    <w:p w14:paraId="22AB8685" w14:textId="77777777" w:rsidR="00D426D1" w:rsidRPr="007A1BAF" w:rsidRDefault="00D426D1" w:rsidP="007D05A3">
      <w:pPr>
        <w:spacing w:line="240" w:lineRule="auto"/>
        <w:jc w:val="center"/>
        <w:rPr>
          <w:rFonts w:ascii="Times New Roman" w:hAnsi="Times New Roman"/>
          <w:b/>
          <w:sz w:val="32"/>
          <w:szCs w:val="32"/>
        </w:rPr>
      </w:pPr>
    </w:p>
    <w:p w14:paraId="29545770" w14:textId="77777777" w:rsidR="00D426D1" w:rsidRDefault="00D426D1" w:rsidP="00196624">
      <w:pPr>
        <w:spacing w:beforeLines="50" w:before="120" w:afterLines="50" w:after="120" w:line="240" w:lineRule="auto"/>
        <w:rPr>
          <w:rFonts w:ascii="Times New Roman" w:hAnsi="Times New Roman"/>
          <w:b/>
          <w:sz w:val="24"/>
          <w:szCs w:val="24"/>
        </w:rPr>
      </w:pPr>
      <w:r>
        <w:rPr>
          <w:rFonts w:ascii="Times New Roman" w:hAnsi="Times New Roman"/>
          <w:b/>
          <w:sz w:val="24"/>
          <w:szCs w:val="24"/>
        </w:rPr>
        <w:t>Abstract</w:t>
      </w:r>
    </w:p>
    <w:p w14:paraId="23AB233B" w14:textId="6153DDA4"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 reality of humans spans beyond spoken language into varieties of extra linguistic avenues</w:t>
      </w:r>
      <w:r w:rsidR="00733062">
        <w:rPr>
          <w:rFonts w:ascii="Times New Roman" w:hAnsi="Times New Roman"/>
          <w:sz w:val="24"/>
          <w:szCs w:val="24"/>
        </w:rPr>
        <w:t xml:space="preserve"> such as colors, clothing, pictures and inscriptions</w:t>
      </w:r>
      <w:r>
        <w:rPr>
          <w:rFonts w:ascii="Times New Roman" w:hAnsi="Times New Roman"/>
          <w:sz w:val="24"/>
          <w:szCs w:val="24"/>
        </w:rPr>
        <w:t xml:space="preserve"> through which they express themselves. Color system is a general concept across cultures even though distinction through names and ascribed meaning(s) to each color vary per culture. This research investigated the strong statements about identity and attitude that bilinguals can make through their choice of colors depending on how conducive they find their linguistic community. Comparison was made between Chinese-English bilinguals in the US and Yoruba-English </w:t>
      </w:r>
      <w:r w:rsidR="00E500F1">
        <w:rPr>
          <w:rFonts w:ascii="Times New Roman" w:hAnsi="Times New Roman"/>
          <w:sz w:val="24"/>
          <w:szCs w:val="24"/>
        </w:rPr>
        <w:t>b</w:t>
      </w:r>
      <w:r>
        <w:rPr>
          <w:rFonts w:ascii="Times New Roman" w:hAnsi="Times New Roman"/>
          <w:sz w:val="24"/>
          <w:szCs w:val="24"/>
        </w:rPr>
        <w:t>ilinguals in Nigeria</w:t>
      </w:r>
      <w:r w:rsidR="00733062">
        <w:rPr>
          <w:rFonts w:ascii="Times New Roman" w:hAnsi="Times New Roman"/>
          <w:sz w:val="24"/>
          <w:szCs w:val="24"/>
        </w:rPr>
        <w:t xml:space="preserve"> using Ethnolinguistic Vitality Theory of sociolinguistics</w:t>
      </w:r>
      <w:r w:rsidR="00D7462F">
        <w:rPr>
          <w:rFonts w:ascii="Times New Roman" w:hAnsi="Times New Roman"/>
          <w:sz w:val="24"/>
          <w:szCs w:val="24"/>
        </w:rPr>
        <w:t xml:space="preserve"> (EVT)</w:t>
      </w:r>
      <w:r>
        <w:rPr>
          <w:rFonts w:ascii="Times New Roman" w:hAnsi="Times New Roman"/>
          <w:sz w:val="24"/>
          <w:szCs w:val="24"/>
        </w:rPr>
        <w:t>.</w:t>
      </w:r>
      <w:r w:rsidR="00D7462F">
        <w:rPr>
          <w:rFonts w:ascii="Times New Roman" w:hAnsi="Times New Roman"/>
          <w:sz w:val="24"/>
          <w:szCs w:val="24"/>
        </w:rPr>
        <w:t xml:space="preserve"> </w:t>
      </w:r>
      <w:r w:rsidR="00122FD7">
        <w:rPr>
          <w:rFonts w:ascii="Times New Roman" w:hAnsi="Times New Roman"/>
          <w:sz w:val="24"/>
          <w:szCs w:val="24"/>
        </w:rPr>
        <w:t>Findings revealed that Chinese-English bilinguals had an overwhelming positive evaluation of their native language while Yoruba-English bilinguals had a more positive evaluation of English.</w:t>
      </w:r>
      <w:r w:rsidR="001263F1">
        <w:rPr>
          <w:rFonts w:ascii="Times New Roman" w:hAnsi="Times New Roman"/>
          <w:sz w:val="24"/>
          <w:szCs w:val="24"/>
        </w:rPr>
        <w:t xml:space="preserve"> Also, the importance of an individual’s language within their immediate environment can influence their evaluation of such language.</w:t>
      </w:r>
      <w:r w:rsidR="00D7462F">
        <w:rPr>
          <w:rFonts w:ascii="Times New Roman" w:hAnsi="Times New Roman"/>
          <w:sz w:val="24"/>
          <w:szCs w:val="24"/>
        </w:rPr>
        <w:t xml:space="preserve"> </w:t>
      </w:r>
      <w:r w:rsidR="001263F1">
        <w:rPr>
          <w:rFonts w:ascii="Times New Roman" w:hAnsi="Times New Roman"/>
          <w:sz w:val="24"/>
          <w:szCs w:val="24"/>
        </w:rPr>
        <w:t>R</w:t>
      </w:r>
      <w:r w:rsidR="00D7462F">
        <w:rPr>
          <w:rFonts w:ascii="Times New Roman" w:hAnsi="Times New Roman"/>
          <w:sz w:val="24"/>
          <w:szCs w:val="24"/>
        </w:rPr>
        <w:t>espondent</w:t>
      </w:r>
      <w:r w:rsidR="001263F1">
        <w:rPr>
          <w:rFonts w:ascii="Times New Roman" w:hAnsi="Times New Roman"/>
          <w:sz w:val="24"/>
          <w:szCs w:val="24"/>
        </w:rPr>
        <w:t>s</w:t>
      </w:r>
      <w:r w:rsidR="00D7462F">
        <w:rPr>
          <w:rFonts w:ascii="Times New Roman" w:hAnsi="Times New Roman"/>
          <w:sz w:val="24"/>
          <w:szCs w:val="24"/>
        </w:rPr>
        <w:t xml:space="preserve"> utilized colors, as</w:t>
      </w:r>
      <w:r>
        <w:rPr>
          <w:rFonts w:ascii="Times New Roman" w:hAnsi="Times New Roman"/>
          <w:sz w:val="24"/>
          <w:szCs w:val="24"/>
        </w:rPr>
        <w:t xml:space="preserve"> a universal concept</w:t>
      </w:r>
      <w:r w:rsidR="00D7462F">
        <w:rPr>
          <w:rFonts w:ascii="Times New Roman" w:hAnsi="Times New Roman"/>
          <w:sz w:val="24"/>
          <w:szCs w:val="24"/>
        </w:rPr>
        <w:t>, to reveal i</w:t>
      </w:r>
      <w:r>
        <w:rPr>
          <w:rFonts w:ascii="Times New Roman" w:hAnsi="Times New Roman"/>
          <w:sz w:val="24"/>
          <w:szCs w:val="24"/>
        </w:rPr>
        <w:t>mplicit information such as attitude and per</w:t>
      </w:r>
      <w:r w:rsidR="00D7462F">
        <w:rPr>
          <w:rFonts w:ascii="Times New Roman" w:hAnsi="Times New Roman"/>
          <w:sz w:val="24"/>
          <w:szCs w:val="24"/>
        </w:rPr>
        <w:t>ception</w:t>
      </w:r>
      <w:r w:rsidR="00837588">
        <w:rPr>
          <w:rFonts w:ascii="Times New Roman" w:hAnsi="Times New Roman"/>
          <w:sz w:val="24"/>
          <w:szCs w:val="24"/>
        </w:rPr>
        <w:t>. The study concludes</w:t>
      </w:r>
      <w:r>
        <w:rPr>
          <w:rFonts w:ascii="Times New Roman" w:hAnsi="Times New Roman"/>
          <w:sz w:val="24"/>
          <w:szCs w:val="24"/>
        </w:rPr>
        <w:t xml:space="preserve"> that </w:t>
      </w:r>
      <w:r w:rsidR="00837588">
        <w:rPr>
          <w:rFonts w:ascii="Times New Roman" w:hAnsi="Times New Roman"/>
          <w:sz w:val="24"/>
          <w:szCs w:val="24"/>
        </w:rPr>
        <w:t xml:space="preserve">language attitude can be largely presumed upon cognitive perception of a language based on influencing </w:t>
      </w:r>
      <w:r w:rsidR="00D7462F">
        <w:rPr>
          <w:rFonts w:ascii="Times New Roman" w:hAnsi="Times New Roman"/>
          <w:sz w:val="24"/>
          <w:szCs w:val="24"/>
        </w:rPr>
        <w:t xml:space="preserve">societal </w:t>
      </w:r>
      <w:r w:rsidR="00837588">
        <w:rPr>
          <w:rFonts w:ascii="Times New Roman" w:hAnsi="Times New Roman"/>
          <w:sz w:val="24"/>
          <w:szCs w:val="24"/>
        </w:rPr>
        <w:t>factors</w:t>
      </w:r>
      <w:r w:rsidR="00D7462F">
        <w:rPr>
          <w:rFonts w:ascii="Times New Roman" w:hAnsi="Times New Roman"/>
          <w:sz w:val="24"/>
          <w:szCs w:val="24"/>
        </w:rPr>
        <w:t>,</w:t>
      </w:r>
      <w:r w:rsidR="00837588">
        <w:rPr>
          <w:rFonts w:ascii="Times New Roman" w:hAnsi="Times New Roman"/>
          <w:sz w:val="24"/>
          <w:szCs w:val="24"/>
        </w:rPr>
        <w:t xml:space="preserve"> and that E</w:t>
      </w:r>
      <w:r w:rsidR="00D7462F">
        <w:rPr>
          <w:rFonts w:ascii="Times New Roman" w:hAnsi="Times New Roman"/>
          <w:sz w:val="24"/>
          <w:szCs w:val="24"/>
        </w:rPr>
        <w:t>VT</w:t>
      </w:r>
      <w:r>
        <w:rPr>
          <w:rFonts w:ascii="Times New Roman" w:hAnsi="Times New Roman"/>
          <w:sz w:val="24"/>
          <w:szCs w:val="24"/>
        </w:rPr>
        <w:t xml:space="preserve"> is very much applicable to beyond ordinary spoken utterance analysis of language.</w:t>
      </w:r>
    </w:p>
    <w:p w14:paraId="7773431B" w14:textId="77777777" w:rsidR="00837588" w:rsidRDefault="00837588" w:rsidP="00196624">
      <w:pPr>
        <w:spacing w:beforeLines="50" w:before="120" w:afterLines="50" w:after="120" w:line="240" w:lineRule="auto"/>
        <w:jc w:val="both"/>
        <w:rPr>
          <w:rFonts w:ascii="Times New Roman" w:hAnsi="Times New Roman"/>
          <w:sz w:val="24"/>
          <w:szCs w:val="24"/>
        </w:rPr>
      </w:pPr>
    </w:p>
    <w:p w14:paraId="1BE25740"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b/>
          <w:sz w:val="24"/>
          <w:szCs w:val="24"/>
        </w:rPr>
        <w:t xml:space="preserve">Keywords: </w:t>
      </w:r>
      <w:r w:rsidR="00897A66">
        <w:rPr>
          <w:rFonts w:ascii="Times New Roman" w:hAnsi="Times New Roman"/>
          <w:sz w:val="24"/>
          <w:szCs w:val="24"/>
        </w:rPr>
        <w:t>Bilingualism, Color System</w:t>
      </w:r>
      <w:r>
        <w:rPr>
          <w:rFonts w:ascii="Times New Roman" w:hAnsi="Times New Roman"/>
          <w:sz w:val="24"/>
          <w:szCs w:val="24"/>
        </w:rPr>
        <w:t>, Ethno</w:t>
      </w:r>
      <w:r w:rsidR="00897A66">
        <w:rPr>
          <w:rFonts w:ascii="Times New Roman" w:hAnsi="Times New Roman"/>
          <w:sz w:val="24"/>
          <w:szCs w:val="24"/>
        </w:rPr>
        <w:t>linguistic Vitality Theory</w:t>
      </w:r>
      <w:r>
        <w:rPr>
          <w:rFonts w:ascii="Times New Roman" w:hAnsi="Times New Roman"/>
          <w:sz w:val="24"/>
          <w:szCs w:val="24"/>
        </w:rPr>
        <w:t>, Symbols</w:t>
      </w:r>
      <w:r w:rsidR="00897A66">
        <w:rPr>
          <w:rFonts w:ascii="Times New Roman" w:hAnsi="Times New Roman"/>
          <w:sz w:val="24"/>
          <w:szCs w:val="24"/>
        </w:rPr>
        <w:t>, Language Attitude</w:t>
      </w:r>
    </w:p>
    <w:p w14:paraId="5539F037" w14:textId="77777777" w:rsidR="00D426D1" w:rsidRDefault="00D426D1" w:rsidP="007D05A3"/>
    <w:p w14:paraId="2AC15023" w14:textId="77777777" w:rsidR="00D426D1" w:rsidRDefault="00D426D1" w:rsidP="00BD3480">
      <w:pPr>
        <w:spacing w:line="240" w:lineRule="auto"/>
        <w:jc w:val="center"/>
        <w:rPr>
          <w:rFonts w:ascii="Times New Roman" w:hAnsi="Times New Roman"/>
          <w:sz w:val="24"/>
          <w:szCs w:val="24"/>
        </w:rPr>
      </w:pPr>
    </w:p>
    <w:p w14:paraId="552C269B" w14:textId="77777777" w:rsidR="00D426D1" w:rsidRDefault="00D426D1" w:rsidP="00897A66">
      <w:pPr>
        <w:spacing w:line="240" w:lineRule="auto"/>
        <w:rPr>
          <w:rFonts w:ascii="Times New Roman" w:hAnsi="Times New Roman"/>
          <w:sz w:val="24"/>
          <w:szCs w:val="24"/>
        </w:rPr>
      </w:pPr>
    </w:p>
    <w:p w14:paraId="19D1E49F" w14:textId="77777777" w:rsidR="00D426D1" w:rsidRDefault="00D426D1" w:rsidP="00BD3480">
      <w:pPr>
        <w:spacing w:line="240" w:lineRule="auto"/>
        <w:jc w:val="center"/>
        <w:rPr>
          <w:rFonts w:ascii="Times New Roman" w:hAnsi="Times New Roman"/>
          <w:sz w:val="24"/>
          <w:szCs w:val="24"/>
        </w:rPr>
      </w:pPr>
    </w:p>
    <w:p w14:paraId="243C7936" w14:textId="77777777" w:rsidR="00D426D1" w:rsidRDefault="00D426D1" w:rsidP="00BD3480">
      <w:pPr>
        <w:spacing w:line="240" w:lineRule="auto"/>
        <w:jc w:val="center"/>
        <w:rPr>
          <w:rFonts w:ascii="Times New Roman" w:hAnsi="Times New Roman"/>
          <w:sz w:val="24"/>
          <w:szCs w:val="24"/>
        </w:rPr>
      </w:pPr>
    </w:p>
    <w:p w14:paraId="3F02D11A" w14:textId="77777777" w:rsidR="00D426D1" w:rsidRDefault="00D426D1" w:rsidP="00BD3480">
      <w:pPr>
        <w:spacing w:line="240" w:lineRule="auto"/>
        <w:jc w:val="center"/>
        <w:rPr>
          <w:rFonts w:ascii="Times New Roman" w:hAnsi="Times New Roman"/>
          <w:sz w:val="24"/>
          <w:szCs w:val="24"/>
        </w:rPr>
      </w:pPr>
    </w:p>
    <w:p w14:paraId="6A1CAD08" w14:textId="77777777" w:rsidR="00D426D1" w:rsidRDefault="00D426D1" w:rsidP="00BD3480">
      <w:pPr>
        <w:spacing w:line="240" w:lineRule="auto"/>
        <w:jc w:val="center"/>
        <w:rPr>
          <w:rFonts w:ascii="Times New Roman" w:hAnsi="Times New Roman"/>
          <w:sz w:val="24"/>
          <w:szCs w:val="24"/>
        </w:rPr>
      </w:pPr>
    </w:p>
    <w:p w14:paraId="6926FCE5" w14:textId="77777777" w:rsidR="00D426D1" w:rsidRDefault="00D426D1" w:rsidP="00543759">
      <w:pPr>
        <w:spacing w:before="240" w:after="0" w:line="480" w:lineRule="auto"/>
        <w:jc w:val="both"/>
        <w:rPr>
          <w:rFonts w:ascii="Times New Roman" w:hAnsi="Times New Roman"/>
          <w:sz w:val="24"/>
          <w:szCs w:val="24"/>
        </w:rPr>
      </w:pPr>
    </w:p>
    <w:p w14:paraId="17C0DA1A" w14:textId="77777777" w:rsidR="00D426D1" w:rsidRDefault="00D426D1" w:rsidP="00196624">
      <w:pPr>
        <w:spacing w:beforeLines="50" w:before="120" w:afterLines="50" w:after="120" w:line="480" w:lineRule="auto"/>
        <w:jc w:val="both"/>
        <w:rPr>
          <w:rFonts w:ascii="Times New Roman" w:hAnsi="Times New Roman"/>
          <w:sz w:val="24"/>
          <w:szCs w:val="24"/>
        </w:rPr>
      </w:pPr>
    </w:p>
    <w:p w14:paraId="5C7BC30D" w14:textId="77777777" w:rsidR="00D426D1" w:rsidRDefault="00D426D1" w:rsidP="00196624">
      <w:pPr>
        <w:spacing w:beforeLines="50" w:before="120" w:afterLines="50" w:after="120" w:line="480" w:lineRule="auto"/>
        <w:jc w:val="both"/>
        <w:rPr>
          <w:rFonts w:ascii="Times New Roman" w:hAnsi="Times New Roman"/>
          <w:sz w:val="24"/>
          <w:szCs w:val="24"/>
        </w:rPr>
      </w:pPr>
    </w:p>
    <w:p w14:paraId="12F6BEFD" w14:textId="77777777" w:rsidR="00D426D1" w:rsidRDefault="00D426D1" w:rsidP="00196624">
      <w:pPr>
        <w:spacing w:beforeLines="50" w:before="120" w:afterLines="50" w:after="120" w:line="480" w:lineRule="auto"/>
        <w:jc w:val="both"/>
        <w:rPr>
          <w:rFonts w:ascii="Times New Roman" w:hAnsi="Times New Roman"/>
          <w:sz w:val="24"/>
          <w:szCs w:val="24"/>
        </w:rPr>
      </w:pPr>
    </w:p>
    <w:p w14:paraId="5157ACEB" w14:textId="77777777" w:rsidR="00D426D1" w:rsidRPr="00AF0BA6"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F0BA6">
        <w:rPr>
          <w:rFonts w:ascii="Times New Roman" w:hAnsi="Times New Roman"/>
          <w:b/>
          <w:sz w:val="24"/>
          <w:szCs w:val="24"/>
        </w:rPr>
        <w:lastRenderedPageBreak/>
        <w:t>Introduction</w:t>
      </w:r>
    </w:p>
    <w:p w14:paraId="2B9197A0" w14:textId="1C333ECC"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There is no gain saying that </w:t>
      </w:r>
      <w:r w:rsidR="00E500F1">
        <w:rPr>
          <w:rFonts w:ascii="Times New Roman" w:hAnsi="Times New Roman"/>
          <w:sz w:val="24"/>
          <w:szCs w:val="24"/>
        </w:rPr>
        <w:t>b</w:t>
      </w:r>
      <w:r>
        <w:rPr>
          <w:rFonts w:ascii="Times New Roman" w:hAnsi="Times New Roman"/>
          <w:sz w:val="24"/>
          <w:szCs w:val="24"/>
        </w:rPr>
        <w:t xml:space="preserve">ilingualism as a concept, and especially as a practice throughout the globe is now more a norm than an exception. Edwards (2013) claims this is true of many societies in the world today. Bilingualism is a nebulous </w:t>
      </w:r>
      <w:r w:rsidR="00796683">
        <w:rPr>
          <w:rFonts w:ascii="Times New Roman" w:hAnsi="Times New Roman"/>
          <w:sz w:val="24"/>
          <w:szCs w:val="24"/>
        </w:rPr>
        <w:t>concept,</w:t>
      </w:r>
      <w:r>
        <w:rPr>
          <w:rFonts w:ascii="Times New Roman" w:hAnsi="Times New Roman"/>
          <w:sz w:val="24"/>
          <w:szCs w:val="24"/>
        </w:rPr>
        <w:t xml:space="preserve"> but it can be, on the surface, viewed as the ability to use two languages, while multilingualism is the concept of having more than two languages (</w:t>
      </w:r>
      <w:r w:rsidR="00A46791">
        <w:rPr>
          <w:rFonts w:ascii="Times New Roman" w:hAnsi="Times New Roman"/>
          <w:sz w:val="24"/>
          <w:szCs w:val="24"/>
        </w:rPr>
        <w:t>XXXXX</w:t>
      </w:r>
      <w:r>
        <w:rPr>
          <w:rFonts w:ascii="Times New Roman" w:hAnsi="Times New Roman"/>
          <w:sz w:val="24"/>
          <w:szCs w:val="24"/>
        </w:rPr>
        <w:t>, 2003). Bilingualism is influenced by various factors that range from the physiological to the psychological and even to external factors such as politics, economics, etc. It is therefore not out of place to regard bilingualism and multilingualism as “highly complex and multidimensional linguistic, ps</w:t>
      </w:r>
      <w:r w:rsidR="00897A66">
        <w:rPr>
          <w:rFonts w:ascii="Times New Roman" w:hAnsi="Times New Roman"/>
          <w:sz w:val="24"/>
          <w:szCs w:val="24"/>
        </w:rPr>
        <w:t>ychological, and social behavio</w:t>
      </w:r>
      <w:r>
        <w:rPr>
          <w:rFonts w:ascii="Times New Roman" w:hAnsi="Times New Roman"/>
          <w:sz w:val="24"/>
          <w:szCs w:val="24"/>
        </w:rPr>
        <w:t>rs” (Butler, 2013). In</w:t>
      </w:r>
      <w:r w:rsidR="00897A66">
        <w:rPr>
          <w:rFonts w:ascii="Times New Roman" w:hAnsi="Times New Roman"/>
          <w:sz w:val="24"/>
          <w:szCs w:val="24"/>
        </w:rPr>
        <w:t xml:space="preserve"> explicating </w:t>
      </w:r>
      <w:r>
        <w:rPr>
          <w:rFonts w:ascii="Times New Roman" w:hAnsi="Times New Roman"/>
          <w:sz w:val="24"/>
          <w:szCs w:val="24"/>
        </w:rPr>
        <w:t>the concept of bilingualism, closely related to a language is the accompanying culture. In this sense, it is impossible to separate a language from the culture which it conveys (Sapir, 1929).</w:t>
      </w:r>
      <w:r w:rsidR="00796683">
        <w:rPr>
          <w:rFonts w:ascii="Times New Roman" w:hAnsi="Times New Roman"/>
          <w:sz w:val="24"/>
          <w:szCs w:val="24"/>
        </w:rPr>
        <w:t xml:space="preserve"> </w:t>
      </w:r>
      <w:r>
        <w:rPr>
          <w:rFonts w:ascii="Times New Roman" w:hAnsi="Times New Roman"/>
          <w:sz w:val="24"/>
          <w:szCs w:val="24"/>
        </w:rPr>
        <w:t xml:space="preserve">Garcia (2011) </w:t>
      </w:r>
      <w:r w:rsidR="00796683">
        <w:rPr>
          <w:rFonts w:ascii="Times New Roman" w:hAnsi="Times New Roman"/>
          <w:sz w:val="24"/>
          <w:szCs w:val="24"/>
        </w:rPr>
        <w:t>opines</w:t>
      </w:r>
      <w:r>
        <w:rPr>
          <w:rFonts w:ascii="Times New Roman" w:hAnsi="Times New Roman"/>
          <w:sz w:val="24"/>
          <w:szCs w:val="24"/>
        </w:rPr>
        <w:t xml:space="preserve"> that “a language divorced from its culture is like a body without a soul”. In other words, languages rely on the underlying culture to make meaning. </w:t>
      </w:r>
    </w:p>
    <w:p w14:paraId="0B72B051"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Language itself is a complex concept to define. It is often viewed from the linguistic (spoken) perspectives alone. However, language is more holistically defined as a combination of signs (Saussure, 1916). These signs include varieties of </w:t>
      </w:r>
      <w:r w:rsidR="00897A66">
        <w:rPr>
          <w:rFonts w:ascii="Times New Roman" w:hAnsi="Times New Roman"/>
          <w:sz w:val="24"/>
          <w:szCs w:val="24"/>
        </w:rPr>
        <w:t>spoken and non-spoken</w:t>
      </w:r>
      <w:r w:rsidRPr="00897A66">
        <w:rPr>
          <w:rFonts w:ascii="Times New Roman" w:hAnsi="Times New Roman"/>
          <w:sz w:val="24"/>
          <w:szCs w:val="24"/>
        </w:rPr>
        <w:t xml:space="preserve"> methods </w:t>
      </w:r>
      <w:r>
        <w:rPr>
          <w:rFonts w:ascii="Times New Roman" w:hAnsi="Times New Roman"/>
          <w:sz w:val="24"/>
          <w:szCs w:val="24"/>
        </w:rPr>
        <w:t>by which humans communicate. Examples of non-linguistic methods include: colors, clothing, gestures, inscriptions, etc.</w:t>
      </w:r>
      <w:r w:rsidRPr="00C21805">
        <w:rPr>
          <w:rFonts w:ascii="Times New Roman" w:hAnsi="Times New Roman"/>
          <w:sz w:val="24"/>
          <w:szCs w:val="24"/>
        </w:rPr>
        <w:t xml:space="preserve"> </w:t>
      </w:r>
      <w:r>
        <w:rPr>
          <w:rFonts w:ascii="Times New Roman" w:hAnsi="Times New Roman"/>
          <w:sz w:val="24"/>
          <w:szCs w:val="24"/>
        </w:rPr>
        <w:t>This study relies on the cultural significance of language and the universality of colors to study the perspective and attitude of bilinguals to their languages and culture(s). Color terms exist in all languages and convey meanings in significant forms (Suntharesan, 2016). These forms might be overt or subtle. However, the color system of each society is a reflection of the culture of that society</w:t>
      </w:r>
      <w:r w:rsidR="00897A66">
        <w:rPr>
          <w:rFonts w:ascii="Times New Roman" w:hAnsi="Times New Roman"/>
          <w:sz w:val="24"/>
          <w:szCs w:val="24"/>
        </w:rPr>
        <w:t>. It is used for communication between individuals. For example, red in some cultures is an expression of danger; white implies peace and tranquility in some cultures; black is used to show mourning in some societies. Individuals collectively understand the signification of symbols within their society</w:t>
      </w:r>
      <w:r>
        <w:rPr>
          <w:rFonts w:ascii="Times New Roman" w:hAnsi="Times New Roman"/>
          <w:sz w:val="24"/>
          <w:szCs w:val="24"/>
        </w:rPr>
        <w:t xml:space="preserve">, so color systems </w:t>
      </w:r>
      <w:r w:rsidR="00897A66">
        <w:rPr>
          <w:rFonts w:ascii="Times New Roman" w:hAnsi="Times New Roman"/>
          <w:sz w:val="24"/>
          <w:szCs w:val="24"/>
        </w:rPr>
        <w:t>are undoubtedly language systems</w:t>
      </w:r>
      <w:r>
        <w:rPr>
          <w:rFonts w:ascii="Times New Roman" w:hAnsi="Times New Roman"/>
          <w:sz w:val="24"/>
          <w:szCs w:val="24"/>
        </w:rPr>
        <w:t xml:space="preserve">. It can be inferred from all the above that the color system is a language form by which speakers of a language can express themselves. </w:t>
      </w:r>
      <w:r w:rsidR="00D4747A">
        <w:rPr>
          <w:rFonts w:ascii="Times New Roman" w:hAnsi="Times New Roman"/>
          <w:sz w:val="24"/>
          <w:szCs w:val="24"/>
        </w:rPr>
        <w:t>To a large extent, the same way as spoken utterance, gestures, and signs,</w:t>
      </w:r>
      <w:r>
        <w:rPr>
          <w:rFonts w:ascii="Times New Roman" w:hAnsi="Times New Roman"/>
          <w:sz w:val="24"/>
          <w:szCs w:val="24"/>
        </w:rPr>
        <w:t xml:space="preserve"> attitudes, perspectives, feelings, emotions can be inferred through the color system.</w:t>
      </w:r>
      <w:r w:rsidR="00D4747A">
        <w:rPr>
          <w:rFonts w:ascii="Times New Roman" w:hAnsi="Times New Roman"/>
          <w:sz w:val="24"/>
          <w:szCs w:val="24"/>
        </w:rPr>
        <w:t xml:space="preserve"> </w:t>
      </w:r>
    </w:p>
    <w:p w14:paraId="49E2C913"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Bilinguals have the command of at least two languages and so they perhaps, or perhaps not</w:t>
      </w:r>
      <w:r w:rsidR="00925989">
        <w:rPr>
          <w:rFonts w:ascii="Times New Roman" w:hAnsi="Times New Roman"/>
          <w:sz w:val="24"/>
          <w:szCs w:val="24"/>
        </w:rPr>
        <w:t>,</w:t>
      </w:r>
      <w:r>
        <w:rPr>
          <w:rFonts w:ascii="Times New Roman" w:hAnsi="Times New Roman"/>
          <w:sz w:val="24"/>
          <w:szCs w:val="24"/>
        </w:rPr>
        <w:t xml:space="preserve"> view the world from two perspectives. Whichever the case may be, bilinguals are not cultural floaters and so they can view colors from at least one cultural angle. This universality of the concept of color makes it even a more reliable concept to measure the non-linguistic expressions of humans (Suntharesan, 2016). Bilinguals usually have differing perspectives and attitudes to the languages in their repertoire which usually stem from extra-linguistic factors such as culture, politics, economic opportunities, etc. As a universal language, colors would therefore be able to convey bilingual attitude and psychological system.</w:t>
      </w:r>
    </w:p>
    <w:p w14:paraId="1C48B9D8" w14:textId="77777777" w:rsidR="00D426D1" w:rsidRPr="00DD1646"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DD1646">
        <w:rPr>
          <w:rFonts w:ascii="Times New Roman" w:hAnsi="Times New Roman"/>
          <w:b/>
          <w:sz w:val="24"/>
          <w:szCs w:val="24"/>
        </w:rPr>
        <w:t>Bilingualism: Language and Culture</w:t>
      </w:r>
    </w:p>
    <w:p w14:paraId="2D0E4213"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Culture consists of all the things that a person needs to know or believe to be able to behave in a way that is acceptable to members of a particular community or society (Goodenough, 1975). In other words, language exists in a manner that is intertwined with culture. This is fair enough to say, since language cannot exist in a vacuum and so must continually operate in a ‘transfusion’ with culture (Fairclough, 1989).</w:t>
      </w:r>
    </w:p>
    <w:p w14:paraId="691807FD" w14:textId="54D08206" w:rsidR="00B74F1A"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 understanding of the interaction between language and culture is necessary to understand the magnitude of the complexity of a typical bilingual mind. Butler (2013) categorizes bilingualism</w:t>
      </w:r>
      <w:r w:rsidR="00796683">
        <w:rPr>
          <w:rFonts w:ascii="Times New Roman" w:hAnsi="Times New Roman"/>
          <w:sz w:val="24"/>
          <w:szCs w:val="24"/>
        </w:rPr>
        <w:t xml:space="preserve"> </w:t>
      </w:r>
      <w:r>
        <w:rPr>
          <w:rFonts w:ascii="Times New Roman" w:hAnsi="Times New Roman"/>
          <w:sz w:val="24"/>
          <w:szCs w:val="24"/>
        </w:rPr>
        <w:lastRenderedPageBreak/>
        <w:t>b</w:t>
      </w:r>
      <w:r w:rsidR="00A63EFB">
        <w:rPr>
          <w:rFonts w:ascii="Times New Roman" w:hAnsi="Times New Roman"/>
          <w:sz w:val="24"/>
          <w:szCs w:val="24"/>
        </w:rPr>
        <w:t xml:space="preserve">ased on diverse points of focus. </w:t>
      </w:r>
      <w:r w:rsidR="00A63EFB" w:rsidRPr="00A63EFB">
        <w:rPr>
          <w:rFonts w:ascii="Times New Roman" w:hAnsi="Times New Roman"/>
          <w:b/>
          <w:sz w:val="24"/>
          <w:szCs w:val="24"/>
        </w:rPr>
        <w:t>(1)</w:t>
      </w:r>
      <w:r>
        <w:rPr>
          <w:rFonts w:ascii="Times New Roman" w:hAnsi="Times New Roman"/>
          <w:sz w:val="24"/>
          <w:szCs w:val="24"/>
        </w:rPr>
        <w:t xml:space="preserve"> </w:t>
      </w:r>
      <w:r>
        <w:rPr>
          <w:rFonts w:ascii="Times New Roman" w:hAnsi="Times New Roman"/>
          <w:i/>
          <w:sz w:val="24"/>
          <w:szCs w:val="24"/>
        </w:rPr>
        <w:t xml:space="preserve">Relationship between proficiencies in two languages </w:t>
      </w:r>
      <w:r>
        <w:rPr>
          <w:rFonts w:ascii="Times New Roman" w:hAnsi="Times New Roman"/>
          <w:sz w:val="24"/>
          <w:szCs w:val="24"/>
        </w:rPr>
        <w:t xml:space="preserve">(Balanced/Dominant- </w:t>
      </w:r>
      <w:r w:rsidRPr="00270023">
        <w:rPr>
          <w:rFonts w:ascii="Times New Roman" w:hAnsi="Times New Roman"/>
          <w:sz w:val="24"/>
          <w:szCs w:val="24"/>
        </w:rPr>
        <w:t>Peal and Lambert, 1962)</w:t>
      </w:r>
      <w:r w:rsidR="00A63EFB">
        <w:rPr>
          <w:rFonts w:ascii="Times New Roman" w:hAnsi="Times New Roman"/>
          <w:sz w:val="24"/>
          <w:szCs w:val="24"/>
          <w:u w:val="single"/>
        </w:rPr>
        <w:t>:</w:t>
      </w:r>
      <w:r w:rsidR="00B74F1A">
        <w:rPr>
          <w:rFonts w:ascii="Times New Roman" w:hAnsi="Times New Roman"/>
          <w:i/>
          <w:sz w:val="24"/>
          <w:szCs w:val="24"/>
        </w:rPr>
        <w:t xml:space="preserve"> </w:t>
      </w:r>
      <w:r w:rsidR="002E44E6">
        <w:rPr>
          <w:rFonts w:ascii="Times New Roman" w:hAnsi="Times New Roman"/>
          <w:sz w:val="24"/>
          <w:szCs w:val="24"/>
        </w:rPr>
        <w:t>a</w:t>
      </w:r>
      <w:r w:rsidR="00B74F1A">
        <w:rPr>
          <w:rFonts w:ascii="Times New Roman" w:hAnsi="Times New Roman"/>
          <w:sz w:val="24"/>
          <w:szCs w:val="24"/>
        </w:rPr>
        <w:t xml:space="preserve">ccording to Baker (2003), a balanced bilingual </w:t>
      </w:r>
      <w:r w:rsidR="00796683">
        <w:rPr>
          <w:rFonts w:ascii="Times New Roman" w:hAnsi="Times New Roman"/>
          <w:sz w:val="24"/>
          <w:szCs w:val="24"/>
        </w:rPr>
        <w:t>can</w:t>
      </w:r>
      <w:r w:rsidR="00B74F1A">
        <w:rPr>
          <w:rFonts w:ascii="Times New Roman" w:hAnsi="Times New Roman"/>
          <w:sz w:val="24"/>
          <w:szCs w:val="24"/>
        </w:rPr>
        <w:t xml:space="preserve"> use </w:t>
      </w:r>
      <w:r w:rsidR="00F904CC">
        <w:rPr>
          <w:rFonts w:ascii="Times New Roman" w:hAnsi="Times New Roman"/>
          <w:sz w:val="24"/>
          <w:szCs w:val="24"/>
        </w:rPr>
        <w:t xml:space="preserve"> his or her</w:t>
      </w:r>
      <w:r w:rsidR="00B74F1A">
        <w:rPr>
          <w:rFonts w:ascii="Times New Roman" w:hAnsi="Times New Roman"/>
          <w:sz w:val="24"/>
          <w:szCs w:val="24"/>
        </w:rPr>
        <w:t xml:space="preserve"> multiple language for different purposes, with different interlocutors, and in</w:t>
      </w:r>
      <w:r w:rsidR="00796683">
        <w:rPr>
          <w:rFonts w:ascii="Times New Roman" w:hAnsi="Times New Roman"/>
          <w:sz w:val="24"/>
          <w:szCs w:val="24"/>
        </w:rPr>
        <w:t xml:space="preserve"> </w:t>
      </w:r>
      <w:r w:rsidR="00B74F1A">
        <w:rPr>
          <w:rFonts w:ascii="Times New Roman" w:hAnsi="Times New Roman"/>
          <w:sz w:val="24"/>
          <w:szCs w:val="24"/>
        </w:rPr>
        <w:t>different environments. Dominant bilingualism on the other hand is when an individual decides to master the diverse use of only one language usually influenced by the usage, domain and value of that language (Moradi, 2014).</w:t>
      </w:r>
      <w:r w:rsidR="00A63EFB">
        <w:rPr>
          <w:rFonts w:ascii="Times New Roman" w:hAnsi="Times New Roman"/>
          <w:sz w:val="24"/>
          <w:szCs w:val="24"/>
        </w:rPr>
        <w:t xml:space="preserve"> This balance in the proficiency of language is also affected by factors such as the age of the speaker, and the context of acquisition of languages. </w:t>
      </w:r>
      <w:r w:rsidR="00A63EFB">
        <w:rPr>
          <w:rFonts w:ascii="Times New Roman" w:hAnsi="Times New Roman"/>
          <w:b/>
          <w:sz w:val="24"/>
          <w:szCs w:val="24"/>
        </w:rPr>
        <w:t xml:space="preserve">(2) </w:t>
      </w:r>
      <w:r w:rsidR="00A63EFB">
        <w:rPr>
          <w:rFonts w:ascii="Times New Roman" w:hAnsi="Times New Roman"/>
          <w:i/>
          <w:sz w:val="24"/>
          <w:szCs w:val="24"/>
        </w:rPr>
        <w:t xml:space="preserve">Organization of linguistic codes and meaning units </w:t>
      </w:r>
      <w:r w:rsidR="00A63EFB">
        <w:rPr>
          <w:rFonts w:ascii="Times New Roman" w:hAnsi="Times New Roman"/>
          <w:sz w:val="24"/>
          <w:szCs w:val="24"/>
        </w:rPr>
        <w:t>(Compound/ Coordinate/Subordinate- Weinreich, 1953)</w:t>
      </w:r>
      <w:r w:rsidR="00F904CC">
        <w:rPr>
          <w:rFonts w:ascii="Times New Roman" w:hAnsi="Times New Roman"/>
          <w:sz w:val="24"/>
          <w:szCs w:val="24"/>
        </w:rPr>
        <w:t>.</w:t>
      </w:r>
      <w:r w:rsidR="00A63EFB">
        <w:rPr>
          <w:rFonts w:ascii="Times New Roman" w:hAnsi="Times New Roman"/>
          <w:sz w:val="24"/>
          <w:szCs w:val="24"/>
        </w:rPr>
        <w:t xml:space="preserve"> </w:t>
      </w:r>
      <w:r w:rsidR="00E91380">
        <w:rPr>
          <w:rFonts w:ascii="Times New Roman" w:hAnsi="Times New Roman"/>
          <w:sz w:val="24"/>
          <w:szCs w:val="24"/>
        </w:rPr>
        <w:t>Moradi (2014) defines</w:t>
      </w:r>
      <w:r w:rsidR="00796683">
        <w:rPr>
          <w:rFonts w:ascii="Times New Roman" w:hAnsi="Times New Roman"/>
          <w:sz w:val="24"/>
          <w:szCs w:val="24"/>
        </w:rPr>
        <w:t xml:space="preserve"> c</w:t>
      </w:r>
      <w:r w:rsidR="00E91380">
        <w:rPr>
          <w:rFonts w:ascii="Times New Roman" w:hAnsi="Times New Roman"/>
          <w:sz w:val="24"/>
          <w:szCs w:val="24"/>
        </w:rPr>
        <w:t xml:space="preserve">ompound bilingualism as having two different linguistic codes within one system of word meaning. This single system is used for both languages; two distinct word labels or verbal expressions, for instance, might have a similar underlying representation across two languages </w:t>
      </w:r>
      <w:r w:rsidR="00E91380" w:rsidRPr="00E91380">
        <w:rPr>
          <w:rFonts w:ascii="Times New Roman" w:hAnsi="Times New Roman"/>
          <w:sz w:val="24"/>
          <w:szCs w:val="24"/>
        </w:rPr>
        <w:t>(Heredia and Cieslicka, 2014).</w:t>
      </w:r>
      <w:r w:rsidR="00E91380">
        <w:rPr>
          <w:rFonts w:ascii="Times New Roman" w:hAnsi="Times New Roman"/>
          <w:sz w:val="24"/>
          <w:szCs w:val="24"/>
        </w:rPr>
        <w:t xml:space="preserve"> Coordinate bilingualism implies that the linguistic codes of a bilingual are stored in distinct systems used for operation</w:t>
      </w:r>
      <w:r w:rsidR="00796683">
        <w:rPr>
          <w:rFonts w:ascii="Times New Roman" w:hAnsi="Times New Roman"/>
          <w:sz w:val="24"/>
          <w:szCs w:val="24"/>
        </w:rPr>
        <w:t xml:space="preserve"> (Bertram, Schreuder, and Bayeen, 2000).</w:t>
      </w:r>
      <w:r w:rsidR="00E91380">
        <w:rPr>
          <w:rFonts w:ascii="Times New Roman" w:hAnsi="Times New Roman"/>
          <w:sz w:val="24"/>
          <w:szCs w:val="24"/>
        </w:rPr>
        <w:t xml:space="preserve"> Subordinate bilingualism refers to having two linguistic codes, but only one unit of meaning (Moradi, 2014). In other words, a second language or</w:t>
      </w:r>
      <w:r w:rsidR="00B52BDF">
        <w:rPr>
          <w:rFonts w:ascii="Times New Roman" w:hAnsi="Times New Roman"/>
          <w:sz w:val="24"/>
          <w:szCs w:val="24"/>
        </w:rPr>
        <w:t xml:space="preserve"> any other subsequent ones are learned through the first language. Summarily according to Heredia and Cieslicka (2014), the learning contexts and acquisition opportunities of languages determine their storage- independently or dependently on another language.</w:t>
      </w:r>
    </w:p>
    <w:p w14:paraId="59F75125" w14:textId="520E8BBD" w:rsidR="00D426D1" w:rsidRDefault="00B52BDF" w:rsidP="00196624">
      <w:pPr>
        <w:spacing w:beforeLines="50" w:before="120" w:afterLines="50" w:after="120" w:line="240" w:lineRule="auto"/>
        <w:jc w:val="both"/>
        <w:rPr>
          <w:rFonts w:ascii="Times New Roman" w:hAnsi="Times New Roman"/>
          <w:sz w:val="24"/>
          <w:szCs w:val="24"/>
        </w:rPr>
      </w:pPr>
      <w:r w:rsidRPr="00F17FFB">
        <w:rPr>
          <w:rFonts w:ascii="Times New Roman" w:hAnsi="Times New Roman"/>
          <w:b/>
          <w:i/>
          <w:sz w:val="24"/>
          <w:szCs w:val="24"/>
        </w:rPr>
        <w:t>(3)</w:t>
      </w:r>
      <w:r>
        <w:rPr>
          <w:rFonts w:ascii="Times New Roman" w:hAnsi="Times New Roman"/>
          <w:b/>
          <w:i/>
          <w:sz w:val="24"/>
          <w:szCs w:val="24"/>
        </w:rPr>
        <w:t xml:space="preserve"> </w:t>
      </w:r>
      <w:r>
        <w:rPr>
          <w:rFonts w:ascii="Times New Roman" w:hAnsi="Times New Roman"/>
          <w:i/>
          <w:sz w:val="24"/>
          <w:szCs w:val="24"/>
        </w:rPr>
        <w:t xml:space="preserve">Age of Acquisition </w:t>
      </w:r>
      <w:r>
        <w:rPr>
          <w:rFonts w:ascii="Times New Roman" w:hAnsi="Times New Roman"/>
          <w:sz w:val="24"/>
          <w:szCs w:val="24"/>
        </w:rPr>
        <w:t xml:space="preserve">(Early/Simultaneous/Sequential/Late- </w:t>
      </w:r>
      <w:r w:rsidR="00796683">
        <w:rPr>
          <w:rFonts w:ascii="Times New Roman" w:hAnsi="Times New Roman"/>
          <w:sz w:val="24"/>
          <w:szCs w:val="24"/>
        </w:rPr>
        <w:t>Genesee, Hammers, Lambert, Wallace, Mononen, Seitz, and Stark, 1978)</w:t>
      </w:r>
      <w:r>
        <w:rPr>
          <w:rFonts w:ascii="Times New Roman" w:hAnsi="Times New Roman"/>
          <w:sz w:val="24"/>
          <w:szCs w:val="24"/>
        </w:rPr>
        <w:t>:</w:t>
      </w:r>
      <w:r w:rsidR="00F17FFB">
        <w:rPr>
          <w:rFonts w:ascii="Times New Roman" w:hAnsi="Times New Roman"/>
          <w:sz w:val="24"/>
          <w:szCs w:val="24"/>
        </w:rPr>
        <w:t xml:space="preserve"> </w:t>
      </w:r>
      <w:r w:rsidR="002E44E6">
        <w:rPr>
          <w:rFonts w:ascii="Times New Roman" w:hAnsi="Times New Roman"/>
          <w:sz w:val="24"/>
          <w:szCs w:val="24"/>
        </w:rPr>
        <w:t>t</w:t>
      </w:r>
      <w:r w:rsidR="00F17FFB">
        <w:rPr>
          <w:rFonts w:ascii="Times New Roman" w:hAnsi="Times New Roman"/>
          <w:sz w:val="24"/>
          <w:szCs w:val="24"/>
        </w:rPr>
        <w:t xml:space="preserve">his categorization is within individual multilingualism. This means an individual might be exposed to more than one language from birth and thus acquire them simultaneously or be exposed to a second and possibly additional languages later as </w:t>
      </w:r>
      <w:r w:rsidR="008F3688">
        <w:rPr>
          <w:rFonts w:ascii="Times New Roman" w:hAnsi="Times New Roman"/>
          <w:sz w:val="24"/>
          <w:szCs w:val="24"/>
        </w:rPr>
        <w:t xml:space="preserve"> he</w:t>
      </w:r>
      <w:r w:rsidR="00F17FFB">
        <w:rPr>
          <w:rFonts w:ascii="Times New Roman" w:hAnsi="Times New Roman"/>
          <w:sz w:val="24"/>
          <w:szCs w:val="24"/>
        </w:rPr>
        <w:t xml:space="preserve"> grow</w:t>
      </w:r>
      <w:r w:rsidR="008F3688">
        <w:rPr>
          <w:rFonts w:ascii="Times New Roman" w:hAnsi="Times New Roman"/>
          <w:sz w:val="24"/>
          <w:szCs w:val="24"/>
        </w:rPr>
        <w:t>s</w:t>
      </w:r>
      <w:r w:rsidR="00F17FFB">
        <w:rPr>
          <w:rFonts w:ascii="Times New Roman" w:hAnsi="Times New Roman"/>
          <w:sz w:val="24"/>
          <w:szCs w:val="24"/>
        </w:rPr>
        <w:t xml:space="preserve"> (Cenoz, 2013). </w:t>
      </w:r>
      <w:r w:rsidR="00F17FFB">
        <w:rPr>
          <w:rFonts w:ascii="Times New Roman" w:hAnsi="Times New Roman"/>
          <w:b/>
          <w:sz w:val="24"/>
          <w:szCs w:val="24"/>
        </w:rPr>
        <w:t>(4)</w:t>
      </w:r>
      <w:r w:rsidR="009731CE" w:rsidRPr="009731CE">
        <w:rPr>
          <w:rFonts w:ascii="Times New Roman" w:hAnsi="Times New Roman"/>
          <w:i/>
          <w:sz w:val="24"/>
          <w:szCs w:val="24"/>
        </w:rPr>
        <w:t xml:space="preserve"> </w:t>
      </w:r>
      <w:r w:rsidR="009731CE">
        <w:rPr>
          <w:rFonts w:ascii="Times New Roman" w:hAnsi="Times New Roman"/>
          <w:i/>
          <w:sz w:val="24"/>
          <w:szCs w:val="24"/>
        </w:rPr>
        <w:t xml:space="preserve">Effect of L2 learning on retention of L1 </w:t>
      </w:r>
      <w:r w:rsidR="009731CE">
        <w:rPr>
          <w:rFonts w:ascii="Times New Roman" w:hAnsi="Times New Roman"/>
          <w:sz w:val="24"/>
          <w:szCs w:val="24"/>
        </w:rPr>
        <w:t>(Additive/Subtractive- Lambert 1974):</w:t>
      </w:r>
      <w:r w:rsidR="002E44E6">
        <w:rPr>
          <w:rFonts w:ascii="Times New Roman" w:hAnsi="Times New Roman"/>
          <w:sz w:val="24"/>
          <w:szCs w:val="24"/>
        </w:rPr>
        <w:t xml:space="preserve"> t</w:t>
      </w:r>
      <w:r w:rsidR="009731CE">
        <w:rPr>
          <w:rFonts w:ascii="Times New Roman" w:hAnsi="Times New Roman"/>
          <w:sz w:val="24"/>
          <w:szCs w:val="24"/>
        </w:rPr>
        <w:t xml:space="preserve">his distinction is made at the societal level of language use. According to Cenoz (2013), </w:t>
      </w:r>
      <w:r w:rsidR="008F3688">
        <w:rPr>
          <w:rFonts w:ascii="Times New Roman" w:hAnsi="Times New Roman"/>
          <w:sz w:val="24"/>
          <w:szCs w:val="24"/>
        </w:rPr>
        <w:t>a</w:t>
      </w:r>
      <w:r w:rsidR="009731CE">
        <w:rPr>
          <w:rFonts w:ascii="Times New Roman" w:hAnsi="Times New Roman"/>
          <w:sz w:val="24"/>
          <w:szCs w:val="24"/>
        </w:rPr>
        <w:t xml:space="preserve">dditive bilingualism implies the addition of another language to a bilingual’s repertoire while the first language is unhindered in development. In </w:t>
      </w:r>
      <w:r w:rsidR="008F3688">
        <w:rPr>
          <w:rFonts w:ascii="Times New Roman" w:hAnsi="Times New Roman"/>
          <w:sz w:val="24"/>
          <w:szCs w:val="24"/>
        </w:rPr>
        <w:t>s</w:t>
      </w:r>
      <w:r w:rsidR="009731CE">
        <w:rPr>
          <w:rFonts w:ascii="Times New Roman" w:hAnsi="Times New Roman"/>
          <w:sz w:val="24"/>
          <w:szCs w:val="24"/>
        </w:rPr>
        <w:t xml:space="preserve">ubtractive bilingualism however, a new language learnt replaces the first language. An important factor that affects such differentiation is being bilingual in languages that are demographically strong with a high status and a weaker language (Kramsch, 2010). </w:t>
      </w:r>
      <w:r w:rsidR="009731CE">
        <w:rPr>
          <w:rFonts w:ascii="Times New Roman" w:hAnsi="Times New Roman"/>
          <w:b/>
          <w:sz w:val="24"/>
          <w:szCs w:val="24"/>
        </w:rPr>
        <w:t>(5)</w:t>
      </w:r>
      <w:r w:rsidR="00FF5A02" w:rsidRPr="00FF5A02">
        <w:rPr>
          <w:rFonts w:ascii="Times New Roman" w:hAnsi="Times New Roman"/>
          <w:i/>
          <w:sz w:val="24"/>
          <w:szCs w:val="24"/>
        </w:rPr>
        <w:t xml:space="preserve"> </w:t>
      </w:r>
      <w:r w:rsidR="00FF5A02">
        <w:rPr>
          <w:rFonts w:ascii="Times New Roman" w:hAnsi="Times New Roman"/>
          <w:i/>
          <w:sz w:val="24"/>
          <w:szCs w:val="24"/>
        </w:rPr>
        <w:t xml:space="preserve">Functional ability </w:t>
      </w:r>
      <w:r w:rsidR="00FF5A02">
        <w:rPr>
          <w:rFonts w:ascii="Times New Roman" w:hAnsi="Times New Roman"/>
          <w:sz w:val="24"/>
          <w:szCs w:val="24"/>
        </w:rPr>
        <w:t xml:space="preserve">(Receptive/Productive- </w:t>
      </w:r>
      <w:r w:rsidR="00FF5A02" w:rsidRPr="00FF5A02">
        <w:rPr>
          <w:rFonts w:ascii="Times New Roman" w:hAnsi="Times New Roman"/>
          <w:sz w:val="24"/>
          <w:szCs w:val="24"/>
        </w:rPr>
        <w:t>Fishman, 1965</w:t>
      </w:r>
      <w:r w:rsidR="00FF5A02">
        <w:rPr>
          <w:rFonts w:ascii="Times New Roman" w:hAnsi="Times New Roman"/>
          <w:sz w:val="24"/>
          <w:szCs w:val="24"/>
        </w:rPr>
        <w:t>)</w:t>
      </w:r>
      <w:r w:rsidR="00006643">
        <w:rPr>
          <w:rFonts w:ascii="Times New Roman" w:hAnsi="Times New Roman"/>
          <w:sz w:val="24"/>
          <w:szCs w:val="24"/>
        </w:rPr>
        <w:t xml:space="preserve">: </w:t>
      </w:r>
      <w:r w:rsidR="002E44E6">
        <w:rPr>
          <w:rFonts w:ascii="Times New Roman" w:hAnsi="Times New Roman"/>
          <w:sz w:val="24"/>
          <w:szCs w:val="24"/>
        </w:rPr>
        <w:t>t</w:t>
      </w:r>
      <w:r w:rsidR="00FF5A02">
        <w:rPr>
          <w:rFonts w:ascii="Times New Roman" w:hAnsi="Times New Roman"/>
          <w:sz w:val="24"/>
          <w:szCs w:val="24"/>
        </w:rPr>
        <w:t>he distinction in the functional ability is defined in an individual’s varying or similar use of multiple languages</w:t>
      </w:r>
      <w:r w:rsidR="00692A5B">
        <w:rPr>
          <w:rFonts w:ascii="Times New Roman" w:hAnsi="Times New Roman"/>
          <w:sz w:val="24"/>
          <w:szCs w:val="24"/>
        </w:rPr>
        <w:t xml:space="preserve"> (Baker 2007</w:t>
      </w:r>
      <w:r w:rsidR="00FF5A02">
        <w:rPr>
          <w:rFonts w:ascii="Times New Roman" w:hAnsi="Times New Roman"/>
          <w:sz w:val="24"/>
          <w:szCs w:val="24"/>
        </w:rPr>
        <w:t xml:space="preserve">; Engen and Kulbrandstad, 2004). Bilingualism is receptive or productive based on an individual’s use in diverse domains, among different interlocutors and contexts (Serpa, 2014) or as Fishman in Baker (2007) puts it: “when, where, and with whom people use their two languages”. </w:t>
      </w:r>
      <w:r w:rsidR="00006643">
        <w:rPr>
          <w:rFonts w:ascii="Times New Roman" w:hAnsi="Times New Roman"/>
          <w:b/>
          <w:sz w:val="24"/>
          <w:szCs w:val="24"/>
        </w:rPr>
        <w:t xml:space="preserve">(6) </w:t>
      </w:r>
      <w:r w:rsidR="00006643">
        <w:rPr>
          <w:rFonts w:ascii="Times New Roman" w:hAnsi="Times New Roman"/>
          <w:i/>
          <w:sz w:val="24"/>
          <w:szCs w:val="24"/>
        </w:rPr>
        <w:t xml:space="preserve">Language status and learning environment </w:t>
      </w:r>
      <w:r w:rsidR="00006643">
        <w:rPr>
          <w:rFonts w:ascii="Times New Roman" w:hAnsi="Times New Roman"/>
          <w:sz w:val="24"/>
          <w:szCs w:val="24"/>
        </w:rPr>
        <w:t>(Elite/Folk- Fishman, 1977):  Elite bilingualism implies a voluntary choice to learn a new language with social prestige which leads to additive</w:t>
      </w:r>
      <w:r w:rsidR="0033247D">
        <w:rPr>
          <w:rFonts w:ascii="Times New Roman" w:hAnsi="Times New Roman"/>
          <w:sz w:val="24"/>
          <w:szCs w:val="24"/>
        </w:rPr>
        <w:t xml:space="preserve"> bilingualism; </w:t>
      </w:r>
      <w:r w:rsidR="00DB50F1">
        <w:rPr>
          <w:rFonts w:ascii="Times New Roman" w:hAnsi="Times New Roman"/>
          <w:sz w:val="24"/>
          <w:szCs w:val="24"/>
        </w:rPr>
        <w:t>folk bilingualism on the other hand is associated with subtractive bilingualism</w:t>
      </w:r>
      <w:r w:rsidR="00FC5994">
        <w:rPr>
          <w:rFonts w:ascii="Times New Roman" w:hAnsi="Times New Roman"/>
          <w:sz w:val="24"/>
          <w:szCs w:val="24"/>
        </w:rPr>
        <w:t xml:space="preserve"> and refers to the condition where individuals acquire a subsequent language and tend to lose a prior one because it has a low prestige in the environment of the individuals (Martin-Jones, 2007)</w:t>
      </w:r>
      <w:r w:rsidR="009623D0">
        <w:rPr>
          <w:rFonts w:ascii="Times New Roman" w:hAnsi="Times New Roman"/>
          <w:sz w:val="24"/>
          <w:szCs w:val="24"/>
        </w:rPr>
        <w:t xml:space="preserve">. </w:t>
      </w:r>
      <w:r w:rsidR="009623D0">
        <w:rPr>
          <w:rFonts w:ascii="Times New Roman" w:hAnsi="Times New Roman"/>
          <w:b/>
          <w:sz w:val="24"/>
          <w:szCs w:val="24"/>
        </w:rPr>
        <w:t>(7)</w:t>
      </w:r>
      <w:r w:rsidR="004734E8">
        <w:rPr>
          <w:rFonts w:ascii="Times New Roman" w:hAnsi="Times New Roman"/>
          <w:b/>
          <w:sz w:val="24"/>
          <w:szCs w:val="24"/>
        </w:rPr>
        <w:t xml:space="preserve"> </w:t>
      </w:r>
      <w:r w:rsidR="00D426D1">
        <w:rPr>
          <w:rFonts w:ascii="Times New Roman" w:hAnsi="Times New Roman"/>
          <w:i/>
          <w:sz w:val="24"/>
          <w:szCs w:val="24"/>
        </w:rPr>
        <w:t>Cultural identity</w:t>
      </w:r>
      <w:r w:rsidR="004734E8">
        <w:rPr>
          <w:rFonts w:ascii="Times New Roman" w:hAnsi="Times New Roman"/>
          <w:i/>
          <w:sz w:val="24"/>
          <w:szCs w:val="24"/>
        </w:rPr>
        <w:t xml:space="preserve"> </w:t>
      </w:r>
      <w:r w:rsidR="00D426D1">
        <w:rPr>
          <w:rFonts w:ascii="Times New Roman" w:hAnsi="Times New Roman"/>
          <w:sz w:val="24"/>
          <w:szCs w:val="24"/>
        </w:rPr>
        <w:t>(Bicultural/L1 monocultural/L2 accultural/</w:t>
      </w:r>
      <w:r w:rsidR="0069058F">
        <w:rPr>
          <w:rFonts w:ascii="Times New Roman" w:hAnsi="Times New Roman"/>
          <w:sz w:val="24"/>
          <w:szCs w:val="24"/>
        </w:rPr>
        <w:t>Deculturated</w:t>
      </w:r>
      <w:r w:rsidR="002E44E6">
        <w:rPr>
          <w:rFonts w:ascii="Times New Roman" w:hAnsi="Times New Roman"/>
          <w:sz w:val="24"/>
          <w:szCs w:val="24"/>
        </w:rPr>
        <w:t>- Hamers and Blanc, 2000): t</w:t>
      </w:r>
      <w:r w:rsidR="004734E8">
        <w:rPr>
          <w:rFonts w:ascii="Times New Roman" w:hAnsi="Times New Roman"/>
          <w:sz w:val="24"/>
          <w:szCs w:val="24"/>
        </w:rPr>
        <w:t>his has to do with the maintenance of the culture associated with a language. It might mean the acquisition of a language without its accompanying culture, or the acquisition of another language and culture which results in the loss of the culture of a prior language.</w:t>
      </w:r>
    </w:p>
    <w:p w14:paraId="7FF0E948" w14:textId="77777777" w:rsidR="00DD1646" w:rsidRDefault="00DD1646" w:rsidP="00196624">
      <w:pPr>
        <w:spacing w:beforeLines="50" w:before="120" w:afterLines="50" w:after="120" w:line="240" w:lineRule="auto"/>
        <w:jc w:val="both"/>
        <w:rPr>
          <w:rFonts w:ascii="Times New Roman" w:hAnsi="Times New Roman"/>
          <w:sz w:val="24"/>
          <w:szCs w:val="24"/>
        </w:rPr>
      </w:pPr>
    </w:p>
    <w:p w14:paraId="58325E20" w14:textId="258D57F4"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lastRenderedPageBreak/>
        <w:t>It is assumed that humans learn languages right from</w:t>
      </w:r>
      <w:r w:rsidR="008F3688">
        <w:rPr>
          <w:rFonts w:ascii="Times New Roman" w:hAnsi="Times New Roman"/>
          <w:sz w:val="24"/>
          <w:szCs w:val="24"/>
        </w:rPr>
        <w:t xml:space="preserve"> infancy</w:t>
      </w:r>
      <w:r w:rsidR="00136FFA">
        <w:rPr>
          <w:rFonts w:ascii="Times New Roman" w:hAnsi="Times New Roman"/>
          <w:sz w:val="24"/>
          <w:szCs w:val="24"/>
        </w:rPr>
        <w:t>,</w:t>
      </w:r>
      <w:r>
        <w:rPr>
          <w:rFonts w:ascii="Times New Roman" w:hAnsi="Times New Roman"/>
          <w:sz w:val="24"/>
          <w:szCs w:val="24"/>
        </w:rPr>
        <w:t xml:space="preserve"> so it is often common to have early simultaneous bilinguals. When a child learns two languages together, such a child can be regarded as a simultaneous bilingual. McLaughlin (1984) would maintain that it is improper to categorize the languages of such a child as first and second languages. Since both languages are acquired at the same time, then it is only proper that they both be regarded as first languages. In Nigeria, a former British colony which is multilingual with 527 different languages (the Ethnologue, 2017)</w:t>
      </w:r>
      <w:r w:rsidR="00BF7F80">
        <w:rPr>
          <w:rFonts w:ascii="Times New Roman" w:hAnsi="Times New Roman"/>
          <w:sz w:val="24"/>
          <w:szCs w:val="24"/>
        </w:rPr>
        <w:t>,</w:t>
      </w:r>
      <w:r>
        <w:rPr>
          <w:rFonts w:ascii="Times New Roman" w:hAnsi="Times New Roman"/>
          <w:sz w:val="24"/>
          <w:szCs w:val="24"/>
        </w:rPr>
        <w:t xml:space="preserve"> </w:t>
      </w:r>
      <w:r w:rsidRPr="00BF7F80">
        <w:rPr>
          <w:rFonts w:ascii="Times New Roman" w:hAnsi="Times New Roman"/>
          <w:sz w:val="24"/>
          <w:szCs w:val="24"/>
        </w:rPr>
        <w:t>children acquire, right from their childhood, English language together with their native language(</w:t>
      </w:r>
      <w:r>
        <w:rPr>
          <w:rFonts w:ascii="Times New Roman" w:hAnsi="Times New Roman"/>
          <w:sz w:val="24"/>
          <w:szCs w:val="24"/>
        </w:rPr>
        <w:t>s) (</w:t>
      </w:r>
      <w:r w:rsidR="00A46791">
        <w:rPr>
          <w:rFonts w:ascii="Times New Roman" w:hAnsi="Times New Roman"/>
          <w:sz w:val="24"/>
          <w:szCs w:val="24"/>
        </w:rPr>
        <w:t>XXXXX</w:t>
      </w:r>
      <w:r>
        <w:rPr>
          <w:rFonts w:ascii="Times New Roman" w:hAnsi="Times New Roman"/>
          <w:sz w:val="24"/>
          <w:szCs w:val="24"/>
        </w:rPr>
        <w:t xml:space="preserve">, 2003). Sequential bilingualism involves the acquisition of another language after one has been established. McLaughlin (1984) posits that the languages are clearly differentiated in this case so the added language can be regarded as the second language while the initial language is regarded as the first. Liddicoat (1991) explicates that simultaneous bilingualism does not necessarily imply more proficiency over sequential bilingualism, but still depends on other factors such as prestige of the acquired languages, continuous contact with the languages, etc. </w:t>
      </w:r>
    </w:p>
    <w:p w14:paraId="1F51CBEA" w14:textId="77777777" w:rsidR="00D426D1" w:rsidRPr="00DD1646"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DD1646">
        <w:rPr>
          <w:rFonts w:ascii="Times New Roman" w:hAnsi="Times New Roman"/>
          <w:b/>
          <w:sz w:val="24"/>
          <w:szCs w:val="24"/>
        </w:rPr>
        <w:t>Color Perspectives</w:t>
      </w:r>
    </w:p>
    <w:p w14:paraId="2008A521" w14:textId="4BA2B63A"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Color as a system plays a great role in communication in various cultures. Going by Danesi (2004), “colors are, in effect, signs that we use to represent whatever we deem appropriate”. Therefore, colors carry important messages when talking about culture or in the context of religion (</w:t>
      </w:r>
      <w:r w:rsidR="00A46791">
        <w:rPr>
          <w:rFonts w:ascii="Times New Roman" w:hAnsi="Times New Roman"/>
          <w:sz w:val="24"/>
          <w:szCs w:val="24"/>
        </w:rPr>
        <w:t>XXXXX</w:t>
      </w:r>
      <w:r>
        <w:rPr>
          <w:rFonts w:ascii="Times New Roman" w:hAnsi="Times New Roman"/>
          <w:sz w:val="24"/>
          <w:szCs w:val="24"/>
        </w:rPr>
        <w:t>, 2003). While some colors have relatively similar meaning across a lot of languages such as white which means purity or peace (Suntharesan, 2016), other colors can have different interpretations across cultural lines (</w:t>
      </w:r>
      <w:r w:rsidR="00A46791">
        <w:rPr>
          <w:rFonts w:ascii="Times New Roman" w:hAnsi="Times New Roman"/>
          <w:sz w:val="24"/>
          <w:szCs w:val="24"/>
        </w:rPr>
        <w:t>XXXXX</w:t>
      </w:r>
      <w:r>
        <w:rPr>
          <w:rFonts w:ascii="Times New Roman" w:hAnsi="Times New Roman"/>
          <w:sz w:val="24"/>
          <w:szCs w:val="24"/>
        </w:rPr>
        <w:t xml:space="preserve"> and Adeniyi, 2014). Red, for instance might mean war and slaughter in one culture, but mean vitality and entertainment in another. </w:t>
      </w:r>
      <w:r w:rsidRPr="00136FFA">
        <w:rPr>
          <w:rFonts w:ascii="Times New Roman" w:hAnsi="Times New Roman"/>
          <w:sz w:val="24"/>
          <w:szCs w:val="24"/>
        </w:rPr>
        <w:t>Valberg (2001)</w:t>
      </w:r>
      <w:r>
        <w:rPr>
          <w:rFonts w:ascii="Times New Roman" w:hAnsi="Times New Roman"/>
          <w:sz w:val="24"/>
          <w:szCs w:val="24"/>
        </w:rPr>
        <w:t xml:space="preserve"> and </w:t>
      </w:r>
      <w:r w:rsidR="00BF7F80">
        <w:rPr>
          <w:rFonts w:ascii="Times New Roman" w:hAnsi="Times New Roman"/>
          <w:sz w:val="24"/>
          <w:szCs w:val="24"/>
        </w:rPr>
        <w:t xml:space="preserve">Bohon, Hermann, Hansen, and Conway </w:t>
      </w:r>
      <w:r>
        <w:rPr>
          <w:rFonts w:ascii="Times New Roman" w:hAnsi="Times New Roman"/>
          <w:sz w:val="24"/>
          <w:szCs w:val="24"/>
        </w:rPr>
        <w:t>(2016)</w:t>
      </w:r>
      <w:r w:rsidR="00BF7F80">
        <w:rPr>
          <w:rFonts w:ascii="Times New Roman" w:hAnsi="Times New Roman"/>
          <w:sz w:val="24"/>
          <w:szCs w:val="24"/>
        </w:rPr>
        <w:t>,</w:t>
      </w:r>
      <w:r>
        <w:rPr>
          <w:rFonts w:ascii="Times New Roman" w:hAnsi="Times New Roman"/>
          <w:sz w:val="24"/>
          <w:szCs w:val="24"/>
        </w:rPr>
        <w:t xml:space="preserve"> in summary</w:t>
      </w:r>
      <w:r w:rsidR="00BF7F80">
        <w:rPr>
          <w:rFonts w:ascii="Times New Roman" w:hAnsi="Times New Roman"/>
          <w:sz w:val="24"/>
          <w:szCs w:val="24"/>
        </w:rPr>
        <w:t>,</w:t>
      </w:r>
      <w:r>
        <w:rPr>
          <w:rFonts w:ascii="Times New Roman" w:hAnsi="Times New Roman"/>
          <w:sz w:val="24"/>
          <w:szCs w:val="24"/>
        </w:rPr>
        <w:t xml:space="preserve"> posit that color categories are not universal but are shaped by specific or respective cultures.</w:t>
      </w:r>
    </w:p>
    <w:p w14:paraId="06B3A3A8" w14:textId="738C2E12"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As noted earlier, similarities of cultures vary from those that are very similar to those which are largely dissimilar. </w:t>
      </w:r>
      <w:r w:rsidR="00A46791">
        <w:rPr>
          <w:rFonts w:ascii="Times New Roman" w:hAnsi="Times New Roman"/>
          <w:sz w:val="24"/>
          <w:szCs w:val="24"/>
        </w:rPr>
        <w:t>XXXXX</w:t>
      </w:r>
      <w:r>
        <w:rPr>
          <w:rFonts w:ascii="Times New Roman" w:hAnsi="Times New Roman"/>
          <w:sz w:val="24"/>
          <w:szCs w:val="24"/>
        </w:rPr>
        <w:t xml:space="preserve"> and Adeniyi (2014) quote psychological views that reveal that colors can express the inner spirits of a person. Although color perceptions are quite subjective, effects are proven to have universal meaning. There are basically two-color categories according to Berlin and Kay (1969): </w:t>
      </w:r>
      <w:r w:rsidR="003711AE">
        <w:rPr>
          <w:rFonts w:ascii="Times New Roman" w:hAnsi="Times New Roman"/>
          <w:sz w:val="24"/>
          <w:szCs w:val="24"/>
        </w:rPr>
        <w:t>w</w:t>
      </w:r>
      <w:r>
        <w:rPr>
          <w:rFonts w:ascii="Times New Roman" w:hAnsi="Times New Roman"/>
          <w:sz w:val="24"/>
          <w:szCs w:val="24"/>
        </w:rPr>
        <w:t xml:space="preserve">arm and </w:t>
      </w:r>
      <w:r w:rsidR="003711AE">
        <w:rPr>
          <w:rFonts w:ascii="Times New Roman" w:hAnsi="Times New Roman"/>
          <w:sz w:val="24"/>
          <w:szCs w:val="24"/>
        </w:rPr>
        <w:t>c</w:t>
      </w:r>
      <w:r>
        <w:rPr>
          <w:rFonts w:ascii="Times New Roman" w:hAnsi="Times New Roman"/>
          <w:sz w:val="24"/>
          <w:szCs w:val="24"/>
        </w:rPr>
        <w:t>ool. Warm colors evoke emotional effects ranging from warmth and comfort to anger and hostility. Colors in this category are red, orange and yellow. Colors in the cool category are blue, purple and green and these colors are said to portray calmness, but sometimes evoke mild feelings of sadness or indifference.</w:t>
      </w:r>
    </w:p>
    <w:p w14:paraId="349A0E24"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sz w:val="24"/>
          <w:szCs w:val="24"/>
        </w:rPr>
      </w:pPr>
      <w:r w:rsidRPr="00A12925">
        <w:rPr>
          <w:rFonts w:ascii="Times New Roman" w:hAnsi="Times New Roman"/>
          <w:b/>
          <w:sz w:val="24"/>
          <w:szCs w:val="24"/>
        </w:rPr>
        <w:t>S</w:t>
      </w:r>
      <w:r w:rsidR="0069058F">
        <w:rPr>
          <w:rFonts w:ascii="Times New Roman" w:hAnsi="Times New Roman"/>
          <w:b/>
          <w:sz w:val="24"/>
          <w:szCs w:val="24"/>
        </w:rPr>
        <w:t>ignificance and Scope</w:t>
      </w:r>
      <w:r w:rsidR="00DD1646">
        <w:rPr>
          <w:rFonts w:ascii="Times New Roman" w:hAnsi="Times New Roman"/>
          <w:b/>
          <w:sz w:val="24"/>
          <w:szCs w:val="24"/>
        </w:rPr>
        <w:t xml:space="preserve"> of Study</w:t>
      </w:r>
    </w:p>
    <w:p w14:paraId="151D5811"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Linguistic expressions are part of a larger system of language usage (Saussure, 1916). For this reason, interpretation of non-verbal expressions must be done using tools that take into consideration much more than ordinary spoken utterance. More to this is that spoken utterances greatly vary across cultures in terms of form, expression and functions. There is perhaps no single variety of spoken words that cuts across all cultures and languages of the world. For this reason, there is need to look into concepts which are general in communication to be able to do an analysis that would objectively apply to all cultures. Bilinguals do not possess simple language systems that monolinguals possess. According to Kroll and McClain (2013), they must constantly negotiate within two languages and maintain inhibitory control of linguistic interference that is not relevant. Analyzing a bilingual’s attitude, for instance, through pure linguistic tools might therefore </w:t>
      </w:r>
      <w:r w:rsidR="00270023">
        <w:rPr>
          <w:rFonts w:ascii="Times New Roman" w:hAnsi="Times New Roman"/>
          <w:sz w:val="24"/>
          <w:szCs w:val="24"/>
        </w:rPr>
        <w:t>generate bias results that favo</w:t>
      </w:r>
      <w:r>
        <w:rPr>
          <w:rFonts w:ascii="Times New Roman" w:hAnsi="Times New Roman"/>
          <w:sz w:val="24"/>
          <w:szCs w:val="24"/>
        </w:rPr>
        <w:t xml:space="preserve">r a language over another. </w:t>
      </w:r>
      <w:r w:rsidR="00F14F44">
        <w:rPr>
          <w:rFonts w:ascii="Times New Roman" w:hAnsi="Times New Roman"/>
          <w:sz w:val="24"/>
          <w:szCs w:val="24"/>
        </w:rPr>
        <w:t>If,</w:t>
      </w:r>
      <w:r>
        <w:rPr>
          <w:rFonts w:ascii="Times New Roman" w:hAnsi="Times New Roman"/>
          <w:sz w:val="24"/>
          <w:szCs w:val="24"/>
        </w:rPr>
        <w:t xml:space="preserve"> </w:t>
      </w:r>
      <w:r w:rsidR="00F14F44">
        <w:rPr>
          <w:rFonts w:ascii="Times New Roman" w:hAnsi="Times New Roman"/>
          <w:sz w:val="24"/>
          <w:szCs w:val="24"/>
        </w:rPr>
        <w:t>however,</w:t>
      </w:r>
      <w:r>
        <w:rPr>
          <w:rFonts w:ascii="Times New Roman" w:hAnsi="Times New Roman"/>
          <w:sz w:val="24"/>
          <w:szCs w:val="24"/>
        </w:rPr>
        <w:t xml:space="preserve"> </w:t>
      </w:r>
      <w:r w:rsidRPr="00F14F44">
        <w:rPr>
          <w:rFonts w:ascii="Times New Roman" w:hAnsi="Times New Roman"/>
          <w:sz w:val="24"/>
          <w:szCs w:val="24"/>
        </w:rPr>
        <w:t>a universal</w:t>
      </w:r>
      <w:r w:rsidR="00F14F44" w:rsidRPr="00F14F44">
        <w:rPr>
          <w:rFonts w:ascii="Times New Roman" w:hAnsi="Times New Roman"/>
          <w:sz w:val="24"/>
          <w:szCs w:val="24"/>
        </w:rPr>
        <w:t>ly neutral</w:t>
      </w:r>
      <w:r w:rsidRPr="00F14F44">
        <w:rPr>
          <w:rFonts w:ascii="Times New Roman" w:hAnsi="Times New Roman"/>
          <w:sz w:val="24"/>
          <w:szCs w:val="24"/>
        </w:rPr>
        <w:t xml:space="preserve"> tool</w:t>
      </w:r>
      <w:r>
        <w:rPr>
          <w:rFonts w:ascii="Times New Roman" w:hAnsi="Times New Roman"/>
          <w:sz w:val="24"/>
          <w:szCs w:val="24"/>
        </w:rPr>
        <w:t xml:space="preserve"> as in color </w:t>
      </w:r>
      <w:r>
        <w:rPr>
          <w:rFonts w:ascii="Times New Roman" w:hAnsi="Times New Roman"/>
          <w:sz w:val="24"/>
          <w:szCs w:val="24"/>
        </w:rPr>
        <w:lastRenderedPageBreak/>
        <w:t>system is used in analysis, there is an excellent chance of having a viable result.</w:t>
      </w:r>
      <w:r w:rsidR="00270023">
        <w:rPr>
          <w:rFonts w:ascii="Times New Roman" w:hAnsi="Times New Roman"/>
          <w:sz w:val="24"/>
          <w:szCs w:val="24"/>
        </w:rPr>
        <w:t xml:space="preserve"> Even though several societies have varying number of colors based on the terms with which they refer them</w:t>
      </w:r>
      <w:r w:rsidR="00F14F44">
        <w:rPr>
          <w:rFonts w:ascii="Times New Roman" w:hAnsi="Times New Roman"/>
          <w:sz w:val="24"/>
          <w:szCs w:val="24"/>
        </w:rPr>
        <w:t xml:space="preserve"> according to their perception of colors, this research is viable because the two societies involved have similar knowledge of the color terms used.</w:t>
      </w:r>
      <w:r>
        <w:rPr>
          <w:rFonts w:ascii="Times New Roman" w:hAnsi="Times New Roman"/>
          <w:sz w:val="24"/>
          <w:szCs w:val="24"/>
        </w:rPr>
        <w:t xml:space="preserve"> From the above, it can be affirmed that an analysis of </w:t>
      </w:r>
      <w:r w:rsidR="00F14F44">
        <w:rPr>
          <w:rFonts w:ascii="Times New Roman" w:hAnsi="Times New Roman"/>
          <w:sz w:val="24"/>
          <w:szCs w:val="24"/>
        </w:rPr>
        <w:t>the selected participants’</w:t>
      </w:r>
      <w:r>
        <w:rPr>
          <w:rFonts w:ascii="Times New Roman" w:hAnsi="Times New Roman"/>
          <w:sz w:val="24"/>
          <w:szCs w:val="24"/>
        </w:rPr>
        <w:t xml:space="preserve"> bilingual’s color system or preference will aid inferences about their perception and attitude to each of the languages in their repertoire and by extension, each accompanying culture or society.</w:t>
      </w:r>
    </w:p>
    <w:p w14:paraId="21C8479D" w14:textId="77777777" w:rsidR="00DD1646" w:rsidRDefault="00DD1646" w:rsidP="00DD1646">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 bilingual mind continues to shuttle within a complex ball of two languages even though the individual perception of each of the languages and its culture might vary. This study examines how the attitude of bilingual speakers to each of the languages, and their accompanying cultures, in their repertoire can be determined using their color preferences. The importance of this study is not only to provide meanings to the color terms but to also show that choice of colors does not just stem from an abstract connection of the brain to visual cues, but is as a result of conscious and unconscious association of the meaning of colors to their corresponding language.</w:t>
      </w:r>
    </w:p>
    <w:p w14:paraId="1B7017CC" w14:textId="77777777" w:rsidR="00DD1646" w:rsidRDefault="00DD1646"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Owing to language contact throughout the world, many bilinguals exist with varying types of languages in their linguistic repertoire.</w:t>
      </w:r>
      <w:r w:rsidR="006626B5">
        <w:rPr>
          <w:rFonts w:ascii="Times New Roman" w:hAnsi="Times New Roman"/>
          <w:sz w:val="24"/>
          <w:szCs w:val="24"/>
        </w:rPr>
        <w:t xml:space="preserve"> This study is</w:t>
      </w:r>
      <w:r>
        <w:rPr>
          <w:rFonts w:ascii="Times New Roman" w:hAnsi="Times New Roman"/>
          <w:sz w:val="24"/>
          <w:szCs w:val="24"/>
        </w:rPr>
        <w:t xml:space="preserve"> limited to a contrast between Chinese- English bilinguals in Syracuse University, USA and Yoruba-English bilinguals in Obafemi Awolowo University, Nigeria. For a more plausible analysis, the study examines respondents who are students of English language in both institutions.</w:t>
      </w:r>
    </w:p>
    <w:p w14:paraId="364DA4B5"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Aim and Objectives</w:t>
      </w:r>
    </w:p>
    <w:p w14:paraId="5BB4850D"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w:t>
      </w:r>
      <w:r w:rsidR="00F14F44">
        <w:rPr>
          <w:rFonts w:ascii="Times New Roman" w:hAnsi="Times New Roman"/>
          <w:sz w:val="24"/>
          <w:szCs w:val="24"/>
        </w:rPr>
        <w:t xml:space="preserve">o </w:t>
      </w:r>
      <w:r>
        <w:rPr>
          <w:rFonts w:ascii="Times New Roman" w:hAnsi="Times New Roman"/>
          <w:sz w:val="24"/>
          <w:szCs w:val="24"/>
        </w:rPr>
        <w:t>describe the perceptions of the bilingual mind of Yoruba-English and Chinese-English bilinguals using the universal concept of color</w:t>
      </w:r>
      <w:r w:rsidR="00F14F44">
        <w:rPr>
          <w:rFonts w:ascii="Times New Roman" w:hAnsi="Times New Roman"/>
          <w:sz w:val="24"/>
          <w:szCs w:val="24"/>
        </w:rPr>
        <w:t>, this study will:</w:t>
      </w:r>
    </w:p>
    <w:p w14:paraId="376120A2" w14:textId="77777777"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analyze colors across various lines of preference by Yoruba-English and Chinese-English bilinguals,</w:t>
      </w:r>
    </w:p>
    <w:p w14:paraId="242DC9AF" w14:textId="77777777"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interpret colors in the context of geographical location, language acquisition and identity (gender, race, and age), and</w:t>
      </w:r>
    </w:p>
    <w:p w14:paraId="0B9F0875" w14:textId="0BA0659F"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describe language attitudes of respondent</w:t>
      </w:r>
      <w:r w:rsidR="008D3662">
        <w:rPr>
          <w:rFonts w:ascii="Times New Roman" w:hAnsi="Times New Roman"/>
          <w:sz w:val="24"/>
          <w:szCs w:val="24"/>
        </w:rPr>
        <w:t>s</w:t>
      </w:r>
      <w:r>
        <w:rPr>
          <w:rFonts w:ascii="Times New Roman" w:hAnsi="Times New Roman"/>
          <w:sz w:val="24"/>
          <w:szCs w:val="24"/>
        </w:rPr>
        <w:t xml:space="preserve"> in terms of analyzed colors.</w:t>
      </w:r>
    </w:p>
    <w:p w14:paraId="6F1427B9"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p>
    <w:p w14:paraId="7344DF63"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Research Hypotheses</w:t>
      </w:r>
    </w:p>
    <w:p w14:paraId="343ACA7B" w14:textId="77777777"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Females will be more disposed to bright colors while males would have more preference for dark colors.</w:t>
      </w:r>
    </w:p>
    <w:p w14:paraId="4E76B1B7" w14:textId="77777777"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Chinese-English bilinguals, being in the United States, will manifest more positive attitude towards English than Chinese.</w:t>
      </w:r>
    </w:p>
    <w:p w14:paraId="3A8C9BF0" w14:textId="77777777"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Yoruba-English bilinguals, being in Nigeria,</w:t>
      </w:r>
      <w:r w:rsidR="004B7EBD">
        <w:rPr>
          <w:rFonts w:ascii="Times New Roman" w:hAnsi="Times New Roman"/>
          <w:sz w:val="24"/>
          <w:szCs w:val="24"/>
        </w:rPr>
        <w:t xml:space="preserve"> notwithstanding their acceptance of English (which is the language of social mobility)</w:t>
      </w:r>
      <w:r>
        <w:rPr>
          <w:rFonts w:ascii="Times New Roman" w:hAnsi="Times New Roman"/>
          <w:sz w:val="24"/>
          <w:szCs w:val="24"/>
        </w:rPr>
        <w:t xml:space="preserve"> will </w:t>
      </w:r>
      <w:r w:rsidR="004B7EBD">
        <w:rPr>
          <w:rFonts w:ascii="Times New Roman" w:hAnsi="Times New Roman"/>
          <w:sz w:val="24"/>
          <w:szCs w:val="24"/>
        </w:rPr>
        <w:t>have a positive perception and pride for their native Yoruba language.</w:t>
      </w:r>
      <w:r w:rsidR="00F14F44">
        <w:rPr>
          <w:rFonts w:ascii="Times New Roman" w:hAnsi="Times New Roman"/>
          <w:sz w:val="24"/>
          <w:szCs w:val="24"/>
        </w:rPr>
        <w:t xml:space="preserve"> </w:t>
      </w:r>
    </w:p>
    <w:p w14:paraId="3F471397" w14:textId="77777777"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Choices of colors to represent each language will reflect the awareness of respondents, who are students, of the color representation system</w:t>
      </w:r>
      <w:r w:rsidR="004B7EBD">
        <w:rPr>
          <w:rFonts w:ascii="Times New Roman" w:hAnsi="Times New Roman"/>
          <w:sz w:val="24"/>
          <w:szCs w:val="24"/>
        </w:rPr>
        <w:t xml:space="preserve"> in English as it applies to their languages i.e., Yoruba and Chinese (Mandarin)</w:t>
      </w:r>
      <w:r>
        <w:rPr>
          <w:rFonts w:ascii="Times New Roman" w:hAnsi="Times New Roman"/>
          <w:sz w:val="24"/>
          <w:szCs w:val="24"/>
        </w:rPr>
        <w:t>.</w:t>
      </w:r>
    </w:p>
    <w:p w14:paraId="24C753AF" w14:textId="77777777" w:rsidR="00D426D1" w:rsidRDefault="00D426D1" w:rsidP="00196624">
      <w:pPr>
        <w:pStyle w:val="ListParagraph"/>
        <w:spacing w:beforeLines="50" w:before="120" w:afterLines="50" w:after="120" w:line="240" w:lineRule="auto"/>
        <w:jc w:val="both"/>
        <w:rPr>
          <w:rFonts w:ascii="Times New Roman" w:hAnsi="Times New Roman"/>
          <w:sz w:val="24"/>
          <w:szCs w:val="24"/>
        </w:rPr>
      </w:pPr>
    </w:p>
    <w:p w14:paraId="0DE23386"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Research Methodology</w:t>
      </w:r>
    </w:p>
    <w:p w14:paraId="39DF5214" w14:textId="4A80731A"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The study adopts a </w:t>
      </w:r>
      <w:r w:rsidR="002A2EB2" w:rsidRPr="003B619D">
        <w:rPr>
          <w:rFonts w:ascii="Times New Roman" w:hAnsi="Times New Roman"/>
          <w:sz w:val="24"/>
          <w:szCs w:val="24"/>
        </w:rPr>
        <w:t>purposive sampling technique</w:t>
      </w:r>
      <w:r w:rsidR="00BA3A42">
        <w:rPr>
          <w:rFonts w:ascii="Times New Roman" w:hAnsi="Times New Roman"/>
          <w:sz w:val="24"/>
          <w:szCs w:val="24"/>
        </w:rPr>
        <w:t>, and the analysis is quantitative, qualitative and descriptive</w:t>
      </w:r>
      <w:r w:rsidR="003B619D">
        <w:rPr>
          <w:rFonts w:ascii="Times New Roman" w:hAnsi="Times New Roman"/>
          <w:sz w:val="24"/>
          <w:szCs w:val="24"/>
        </w:rPr>
        <w:t xml:space="preserve">. </w:t>
      </w:r>
      <w:r w:rsidR="00BA3A42">
        <w:rPr>
          <w:rFonts w:ascii="Times New Roman" w:hAnsi="Times New Roman"/>
          <w:sz w:val="24"/>
          <w:szCs w:val="24"/>
        </w:rPr>
        <w:t xml:space="preserve">The criteria for the selection of respondents were location, language repertoire, and academic qualification. Chinese-English bilinguals who resided in a foreign language community </w:t>
      </w:r>
      <w:r w:rsidR="00BA3A42">
        <w:rPr>
          <w:rFonts w:ascii="Times New Roman" w:hAnsi="Times New Roman"/>
          <w:sz w:val="24"/>
          <w:szCs w:val="24"/>
        </w:rPr>
        <w:lastRenderedPageBreak/>
        <w:t>(USA) were selected to be contrasted with Yoruba-English bilinguals who resided in their native language community (Ile-Ife, Nigeria</w:t>
      </w:r>
      <w:r w:rsidR="00F45ED7">
        <w:rPr>
          <w:rFonts w:ascii="Times New Roman" w:hAnsi="Times New Roman"/>
          <w:sz w:val="24"/>
          <w:szCs w:val="24"/>
        </w:rPr>
        <w:t>).</w:t>
      </w:r>
      <w:r w:rsidR="00BA3A42">
        <w:rPr>
          <w:rFonts w:ascii="Times New Roman" w:hAnsi="Times New Roman"/>
          <w:sz w:val="24"/>
          <w:szCs w:val="24"/>
        </w:rPr>
        <w:t xml:space="preserve"> For a balance in their academic qualifications, undergraduates were selected in both contexts.</w:t>
      </w:r>
      <w:r>
        <w:rPr>
          <w:rFonts w:ascii="Times New Roman" w:hAnsi="Times New Roman"/>
          <w:sz w:val="24"/>
          <w:szCs w:val="24"/>
        </w:rPr>
        <w:t xml:space="preserve"> The research instrument used for this study is a survey. Subjects were selected, 130 each, from Obafemi Awolowo University, Nigeria and Syracuse University, USA. The 130 respondents for each group of students were further split into </w:t>
      </w:r>
      <w:r w:rsidR="00F45ED7">
        <w:rPr>
          <w:rFonts w:ascii="Times New Roman" w:hAnsi="Times New Roman"/>
          <w:sz w:val="24"/>
          <w:szCs w:val="24"/>
        </w:rPr>
        <w:t>65</w:t>
      </w:r>
      <w:r>
        <w:rPr>
          <w:rFonts w:ascii="Times New Roman" w:hAnsi="Times New Roman"/>
          <w:sz w:val="24"/>
          <w:szCs w:val="24"/>
        </w:rPr>
        <w:t xml:space="preserve"> for females and </w:t>
      </w:r>
      <w:r w:rsidR="00F45ED7">
        <w:rPr>
          <w:rFonts w:ascii="Times New Roman" w:hAnsi="Times New Roman"/>
          <w:sz w:val="24"/>
          <w:szCs w:val="24"/>
        </w:rPr>
        <w:t>65</w:t>
      </w:r>
      <w:r>
        <w:rPr>
          <w:rFonts w:ascii="Times New Roman" w:hAnsi="Times New Roman"/>
          <w:sz w:val="24"/>
          <w:szCs w:val="24"/>
        </w:rPr>
        <w:t xml:space="preserve"> for males in each category. These subjects are Yoruba-English </w:t>
      </w:r>
      <w:r w:rsidR="00E43354">
        <w:rPr>
          <w:rFonts w:ascii="Times New Roman" w:hAnsi="Times New Roman"/>
          <w:sz w:val="24"/>
          <w:szCs w:val="24"/>
        </w:rPr>
        <w:t>b</w:t>
      </w:r>
      <w:r>
        <w:rPr>
          <w:rFonts w:ascii="Times New Roman" w:hAnsi="Times New Roman"/>
          <w:sz w:val="24"/>
          <w:szCs w:val="24"/>
        </w:rPr>
        <w:t xml:space="preserve">ilinguals in Nigeria, and Chinese-English </w:t>
      </w:r>
      <w:r w:rsidR="00E43354">
        <w:rPr>
          <w:rFonts w:ascii="Times New Roman" w:hAnsi="Times New Roman"/>
          <w:sz w:val="24"/>
          <w:szCs w:val="24"/>
        </w:rPr>
        <w:t>b</w:t>
      </w:r>
      <w:r>
        <w:rPr>
          <w:rFonts w:ascii="Times New Roman" w:hAnsi="Times New Roman"/>
          <w:sz w:val="24"/>
          <w:szCs w:val="24"/>
        </w:rPr>
        <w:t xml:space="preserve">ilinguals in the United States. The survey included questions that elicited biographical information as well as information as regards perception of colors. Nine major (9) colors namely: White, Grey, Black; Red, Orange, Yellow; Blue, Green, and Purple were grouped into three, based on </w:t>
      </w:r>
      <w:r w:rsidR="00A46791">
        <w:rPr>
          <w:rFonts w:ascii="Times New Roman" w:hAnsi="Times New Roman"/>
          <w:sz w:val="24"/>
          <w:szCs w:val="24"/>
        </w:rPr>
        <w:t>XXXXX</w:t>
      </w:r>
      <w:r>
        <w:rPr>
          <w:rFonts w:ascii="Times New Roman" w:hAnsi="Times New Roman"/>
          <w:sz w:val="24"/>
          <w:szCs w:val="24"/>
        </w:rPr>
        <w:t xml:space="preserve"> and Adeniyi (2014). The personal and research data were analyzed using statistics tools- EpiData and SPSS.</w:t>
      </w:r>
    </w:p>
    <w:p w14:paraId="475C9E29" w14:textId="77777777" w:rsidR="00D426D1" w:rsidRPr="007D05A3" w:rsidRDefault="00D426D1" w:rsidP="00196624">
      <w:pPr>
        <w:spacing w:beforeLines="50" w:before="120" w:afterLines="50" w:after="120" w:line="240" w:lineRule="auto"/>
        <w:jc w:val="both"/>
        <w:rPr>
          <w:rFonts w:ascii="Times New Roman" w:hAnsi="Times New Roman"/>
          <w:b/>
          <w:sz w:val="24"/>
          <w:szCs w:val="24"/>
        </w:rPr>
      </w:pPr>
      <w:r w:rsidRPr="007D05A3">
        <w:rPr>
          <w:rFonts w:ascii="Times New Roman" w:hAnsi="Times New Roman"/>
          <w:b/>
          <w:sz w:val="24"/>
          <w:szCs w:val="24"/>
        </w:rPr>
        <w:t>Theoretical Framework</w:t>
      </w:r>
    </w:p>
    <w:p w14:paraId="472C5D04" w14:textId="0D6DCE83" w:rsidR="00425106" w:rsidRDefault="00425106"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This study utilizes the framework of Ethnolinguistic Vitality</w:t>
      </w:r>
      <w:r w:rsidR="00E43354">
        <w:rPr>
          <w:rFonts w:ascii="Times New Roman" w:hAnsi="Times New Roman"/>
          <w:sz w:val="24"/>
          <w:szCs w:val="24"/>
        </w:rPr>
        <w:t xml:space="preserve"> Theory </w:t>
      </w:r>
      <w:r>
        <w:rPr>
          <w:rFonts w:ascii="Times New Roman" w:hAnsi="Times New Roman"/>
          <w:sz w:val="24"/>
          <w:szCs w:val="24"/>
        </w:rPr>
        <w:t xml:space="preserve"> proposed by Gil</w:t>
      </w:r>
      <w:r w:rsidR="001E69C9">
        <w:rPr>
          <w:rFonts w:ascii="Times New Roman" w:hAnsi="Times New Roman"/>
          <w:sz w:val="24"/>
          <w:szCs w:val="24"/>
        </w:rPr>
        <w:t>es, Bourhis and Taylor (1977). This framework examines the distinctiveness and peculiarity of a group in situations especially outside the group. It therefore takes into consideration an individual’s identity which derives from their knowledge and self-consciousness of their membership of a social group (Tajfel 1978)</w:t>
      </w:r>
      <w:r w:rsidR="00EE6A83">
        <w:rPr>
          <w:rFonts w:ascii="Times New Roman" w:hAnsi="Times New Roman"/>
          <w:sz w:val="24"/>
          <w:szCs w:val="24"/>
        </w:rPr>
        <w:t xml:space="preserve">. </w:t>
      </w:r>
      <w:r w:rsidR="00B0203B">
        <w:rPr>
          <w:rFonts w:ascii="Times New Roman" w:hAnsi="Times New Roman"/>
          <w:sz w:val="24"/>
          <w:szCs w:val="24"/>
        </w:rPr>
        <w:t>According to Adriosh and Razi (2016), Ethnolinguistic Vitality Theory (EVT) gives an insight into the importance and prestige associated to local languages and cultures as against other languages in a multilingual context. Through this, individuals’ conception and attitude to their language(s) can be determined and utilized,</w:t>
      </w:r>
      <w:r w:rsidR="0026738F">
        <w:rPr>
          <w:rFonts w:ascii="Times New Roman" w:hAnsi="Times New Roman"/>
          <w:sz w:val="24"/>
          <w:szCs w:val="24"/>
        </w:rPr>
        <w:t xml:space="preserve"> on a larger scale, to project and evaluate the survival of languages and cultures in a multilingual context.</w:t>
      </w:r>
      <w:r w:rsidR="00B0203B">
        <w:rPr>
          <w:rFonts w:ascii="Times New Roman" w:hAnsi="Times New Roman"/>
          <w:sz w:val="24"/>
          <w:szCs w:val="24"/>
        </w:rPr>
        <w:t xml:space="preserve"> </w:t>
      </w:r>
      <w:r w:rsidR="001A2630">
        <w:rPr>
          <w:rFonts w:ascii="Times New Roman" w:hAnsi="Times New Roman"/>
          <w:sz w:val="24"/>
          <w:szCs w:val="24"/>
        </w:rPr>
        <w:t xml:space="preserve">According to Phinney (2003) cited in </w:t>
      </w:r>
      <w:r w:rsidR="00A46791">
        <w:rPr>
          <w:rFonts w:ascii="Times New Roman" w:hAnsi="Times New Roman"/>
          <w:sz w:val="24"/>
          <w:szCs w:val="24"/>
        </w:rPr>
        <w:t>XXXXX</w:t>
      </w:r>
      <w:r w:rsidR="001A2630">
        <w:rPr>
          <w:rFonts w:ascii="Times New Roman" w:hAnsi="Times New Roman"/>
          <w:sz w:val="24"/>
          <w:szCs w:val="24"/>
        </w:rPr>
        <w:t xml:space="preserve"> (2016), </w:t>
      </w:r>
      <w:r w:rsidR="003568F2">
        <w:rPr>
          <w:rFonts w:ascii="Times New Roman" w:hAnsi="Times New Roman"/>
          <w:sz w:val="24"/>
          <w:szCs w:val="24"/>
        </w:rPr>
        <w:t>Ethnolinguistic Vitality or Identity Theory represents a primary aspect of an individual’s world view. In other words, a person’s view of their language(s) and/or culture against that of others determines their language knowledge, preference and use.</w:t>
      </w:r>
    </w:p>
    <w:p w14:paraId="0BF93F4B" w14:textId="74E0BB02" w:rsidR="00B0203B" w:rsidRDefault="0026738F"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An important aspect of this theoretical framework is language attitude. Defined as the subjective evaluation of language varieties and their speakers (Myers-Scotton, 2005), language attitude can be examined within an individual or a group.</w:t>
      </w:r>
      <w:r w:rsidR="00614256">
        <w:rPr>
          <w:rFonts w:ascii="Times New Roman" w:hAnsi="Times New Roman"/>
          <w:sz w:val="24"/>
          <w:szCs w:val="24"/>
        </w:rPr>
        <w:t xml:space="preserve"> Various factors influence the attitude, positive or negative, of speakers of a language to that language in relation to others within a multilingual context, and these factors such as number of speakers, </w:t>
      </w:r>
      <w:r w:rsidR="00837588">
        <w:rPr>
          <w:rFonts w:ascii="Times New Roman" w:hAnsi="Times New Roman"/>
          <w:sz w:val="24"/>
          <w:szCs w:val="24"/>
        </w:rPr>
        <w:t xml:space="preserve">institutional support, </w:t>
      </w:r>
      <w:r w:rsidR="00614256">
        <w:rPr>
          <w:rFonts w:ascii="Times New Roman" w:hAnsi="Times New Roman"/>
          <w:sz w:val="24"/>
          <w:szCs w:val="24"/>
        </w:rPr>
        <w:t>language mobility strength, permeation by foreign languages</w:t>
      </w:r>
      <w:r w:rsidR="00837588">
        <w:rPr>
          <w:rFonts w:ascii="Times New Roman" w:hAnsi="Times New Roman"/>
          <w:sz w:val="24"/>
          <w:szCs w:val="24"/>
        </w:rPr>
        <w:t>, and domains of use</w:t>
      </w:r>
      <w:r w:rsidR="00614256">
        <w:rPr>
          <w:rFonts w:ascii="Times New Roman" w:hAnsi="Times New Roman"/>
          <w:sz w:val="24"/>
          <w:szCs w:val="24"/>
        </w:rPr>
        <w:t xml:space="preserve"> generally dictate the cognitive basis of ethnolinguistic vitality (Adriosh and Razi, 2016).</w:t>
      </w:r>
      <w:r w:rsidR="001A2630">
        <w:rPr>
          <w:rFonts w:ascii="Times New Roman" w:hAnsi="Times New Roman"/>
          <w:sz w:val="24"/>
          <w:szCs w:val="24"/>
        </w:rPr>
        <w:t xml:space="preserve"> </w:t>
      </w:r>
    </w:p>
    <w:p w14:paraId="73FDD5BE" w14:textId="026B8FD2" w:rsidR="001A2630" w:rsidRPr="00837588" w:rsidRDefault="00614256"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th</w:t>
      </w:r>
      <w:r w:rsidR="003568F2">
        <w:rPr>
          <w:rFonts w:ascii="Times New Roman" w:hAnsi="Times New Roman"/>
          <w:sz w:val="24"/>
          <w:szCs w:val="24"/>
        </w:rPr>
        <w:t>is study</w:t>
      </w:r>
      <w:r>
        <w:rPr>
          <w:rFonts w:ascii="Times New Roman" w:hAnsi="Times New Roman"/>
          <w:sz w:val="24"/>
          <w:szCs w:val="24"/>
        </w:rPr>
        <w:t>, color system which is a universal concept in social communication is analyzed in relation to language use and expression. As in Trudgil (2000)</w:t>
      </w:r>
      <w:r w:rsidR="003639D2">
        <w:rPr>
          <w:rFonts w:ascii="Times New Roman" w:hAnsi="Times New Roman"/>
          <w:sz w:val="24"/>
          <w:szCs w:val="24"/>
        </w:rPr>
        <w:t xml:space="preserve"> and Van Dijk (2009)</w:t>
      </w:r>
      <w:r w:rsidR="00BF7F80">
        <w:rPr>
          <w:rFonts w:ascii="Times New Roman" w:hAnsi="Times New Roman"/>
          <w:sz w:val="24"/>
          <w:szCs w:val="24"/>
        </w:rPr>
        <w:t>,</w:t>
      </w:r>
      <w:r>
        <w:rPr>
          <w:rFonts w:ascii="Times New Roman" w:hAnsi="Times New Roman"/>
          <w:sz w:val="24"/>
          <w:szCs w:val="24"/>
        </w:rPr>
        <w:t xml:space="preserve"> language cannot be analyzed independent of its social context and other sociolinguistic contexts which mu</w:t>
      </w:r>
      <w:r w:rsidR="001A2630">
        <w:rPr>
          <w:rFonts w:ascii="Times New Roman" w:hAnsi="Times New Roman"/>
          <w:sz w:val="24"/>
          <w:szCs w:val="24"/>
        </w:rPr>
        <w:t>st be taken into consideration. This study thus requires analyzing</w:t>
      </w:r>
      <w:r>
        <w:rPr>
          <w:rFonts w:ascii="Times New Roman" w:hAnsi="Times New Roman"/>
          <w:sz w:val="24"/>
          <w:szCs w:val="24"/>
        </w:rPr>
        <w:t xml:space="preserve"> language as a form that is so</w:t>
      </w:r>
      <w:r w:rsidR="003568F2">
        <w:rPr>
          <w:rFonts w:ascii="Times New Roman" w:hAnsi="Times New Roman"/>
          <w:sz w:val="24"/>
          <w:szCs w:val="24"/>
        </w:rPr>
        <w:t xml:space="preserve">cially located within culture. </w:t>
      </w:r>
      <w:r>
        <w:rPr>
          <w:rFonts w:ascii="Times New Roman" w:hAnsi="Times New Roman"/>
          <w:sz w:val="24"/>
          <w:szCs w:val="24"/>
        </w:rPr>
        <w:t>In analysis therefore, there is consideration of the social background of interlocutors since it is believed that the analysis of the code itself and the cognitive process depends on the understanding of this fundamental social factor.</w:t>
      </w:r>
      <w:r w:rsidR="001A2630">
        <w:rPr>
          <w:rFonts w:ascii="Times New Roman" w:hAnsi="Times New Roman"/>
          <w:sz w:val="24"/>
          <w:szCs w:val="24"/>
        </w:rPr>
        <w:t xml:space="preserve"> </w:t>
      </w:r>
      <w:r w:rsidR="003568F2">
        <w:rPr>
          <w:rFonts w:ascii="Times New Roman" w:hAnsi="Times New Roman"/>
          <w:sz w:val="24"/>
          <w:szCs w:val="24"/>
        </w:rPr>
        <w:t>In evaluating the choice of colors and languages which shows group identity in this research, the Ethnolinguistic Vitality Theory (EVT) is fitting for analysis. Considered variables also include social factors such as class, age, gender, etc.</w:t>
      </w:r>
    </w:p>
    <w:p w14:paraId="6BFDCE62" w14:textId="77777777" w:rsidR="00D426D1"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Analysis and Findings</w:t>
      </w:r>
    </w:p>
    <w:p w14:paraId="02E38941" w14:textId="77777777" w:rsidR="00D426D1" w:rsidRPr="00DD1646" w:rsidRDefault="00D426D1" w:rsidP="00DD1646">
      <w:pPr>
        <w:pStyle w:val="ListParagraph"/>
        <w:spacing w:beforeLines="50" w:before="120" w:afterLines="50" w:after="120" w:line="240" w:lineRule="auto"/>
        <w:jc w:val="both"/>
        <w:rPr>
          <w:rFonts w:ascii="Times New Roman" w:hAnsi="Times New Roman"/>
          <w:i/>
          <w:sz w:val="24"/>
          <w:szCs w:val="24"/>
        </w:rPr>
      </w:pPr>
      <w:r w:rsidRPr="00DD1646">
        <w:rPr>
          <w:rFonts w:ascii="Times New Roman" w:hAnsi="Times New Roman"/>
          <w:i/>
          <w:sz w:val="24"/>
          <w:szCs w:val="24"/>
        </w:rPr>
        <w:t>Demographic Information of Subjects</w:t>
      </w:r>
    </w:p>
    <w:p w14:paraId="6E153BA2" w14:textId="5B2587F3" w:rsidR="00D426D1" w:rsidRPr="00827A10"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lastRenderedPageBreak/>
        <w:t>A total of 260 surveys were analyzed. 130 (50%) of the respondents were Yoruba-English bilinguals and the other 130 (50%) were Chinese English bilinguals. Chinese in this case encompassed all recognized ‘varieties’ of Chinese. Furthermore, there were 130 (50%) females (</w:t>
      </w:r>
      <w:r w:rsidR="004D2585">
        <w:rPr>
          <w:rFonts w:ascii="Times New Roman" w:hAnsi="Times New Roman"/>
          <w:sz w:val="24"/>
          <w:szCs w:val="24"/>
        </w:rPr>
        <w:t>6</w:t>
      </w:r>
      <w:r>
        <w:rPr>
          <w:rFonts w:ascii="Times New Roman" w:hAnsi="Times New Roman"/>
          <w:sz w:val="24"/>
          <w:szCs w:val="24"/>
        </w:rPr>
        <w:t xml:space="preserve">5 Chinese and </w:t>
      </w:r>
      <w:r w:rsidR="004D2585">
        <w:rPr>
          <w:rFonts w:ascii="Times New Roman" w:hAnsi="Times New Roman"/>
          <w:sz w:val="24"/>
          <w:szCs w:val="24"/>
        </w:rPr>
        <w:t>6</w:t>
      </w:r>
      <w:r>
        <w:rPr>
          <w:rFonts w:ascii="Times New Roman" w:hAnsi="Times New Roman"/>
          <w:sz w:val="24"/>
          <w:szCs w:val="24"/>
        </w:rPr>
        <w:t>5 Yoruba) and 130 males (</w:t>
      </w:r>
      <w:r w:rsidR="004D2585">
        <w:rPr>
          <w:rFonts w:ascii="Times New Roman" w:hAnsi="Times New Roman"/>
          <w:sz w:val="24"/>
          <w:szCs w:val="24"/>
        </w:rPr>
        <w:t>6</w:t>
      </w:r>
      <w:r>
        <w:rPr>
          <w:rFonts w:ascii="Times New Roman" w:hAnsi="Times New Roman"/>
          <w:sz w:val="24"/>
          <w:szCs w:val="24"/>
        </w:rPr>
        <w:t xml:space="preserve">5 Chinese and </w:t>
      </w:r>
      <w:r w:rsidR="004D2585">
        <w:rPr>
          <w:rFonts w:ascii="Times New Roman" w:hAnsi="Times New Roman"/>
          <w:sz w:val="24"/>
          <w:szCs w:val="24"/>
        </w:rPr>
        <w:t>6</w:t>
      </w:r>
      <w:r>
        <w:rPr>
          <w:rFonts w:ascii="Times New Roman" w:hAnsi="Times New Roman"/>
          <w:sz w:val="24"/>
          <w:szCs w:val="24"/>
        </w:rPr>
        <w:t xml:space="preserve">5 Yoruba). 193 (74.2%) of the respondents were aged 18-21 years; 10 (3.8%) were 15-17 years; 51 (19.6%) were between 22-25 years while 6(2.3%) were between 26-30 years. The </w:t>
      </w:r>
      <w:r w:rsidR="004D2585">
        <w:rPr>
          <w:rFonts w:ascii="Times New Roman" w:hAnsi="Times New Roman"/>
          <w:sz w:val="24"/>
          <w:szCs w:val="24"/>
        </w:rPr>
        <w:t>predominance</w:t>
      </w:r>
      <w:r>
        <w:rPr>
          <w:rFonts w:ascii="Times New Roman" w:hAnsi="Times New Roman"/>
          <w:sz w:val="24"/>
          <w:szCs w:val="24"/>
        </w:rPr>
        <w:t xml:space="preserve"> of ages 18-21 among the respondents was because respondents were selected from the University. Most of them were either </w:t>
      </w:r>
      <w:r w:rsidR="004D2585">
        <w:rPr>
          <w:rFonts w:ascii="Times New Roman" w:hAnsi="Times New Roman"/>
          <w:sz w:val="24"/>
          <w:szCs w:val="24"/>
        </w:rPr>
        <w:t>first- or second-year</w:t>
      </w:r>
      <w:r>
        <w:rPr>
          <w:rFonts w:ascii="Times New Roman" w:hAnsi="Times New Roman"/>
          <w:sz w:val="24"/>
          <w:szCs w:val="24"/>
        </w:rPr>
        <w:t xml:space="preserve"> undergraduates so the ages are normal and expected.</w:t>
      </w:r>
    </w:p>
    <w:p w14:paraId="3F9D9876"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Out of the 130 (100%) Chinese bilinguals in the United States, 125 (96.2%) had been in the United States for 5 years or less, 3 (2.3%) had been in the United States for more than 5 but less than 10 years while 1(0.8%) had been in the United States for more than 10 years but below 15 and the same number had been in the United States for more than 15 years. The fact that a lot of the Chinese-English bilinguals were in the United States to study and were still in their starting years was a major reason why an overwhelming 125 (96.2%) had only been in the United States for less than 5 years. In fact, most of them had been in the US for just 1 or 2 years.</w:t>
      </w:r>
    </w:p>
    <w:p w14:paraId="1BEEB2EC" w14:textId="7379104D" w:rsidR="00D426D1" w:rsidRPr="00461497"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Of all the respondents, 137 (52.7%) (the Yoruba-English bilinguals</w:t>
      </w:r>
      <w:r w:rsidR="004B7EBD">
        <w:rPr>
          <w:rFonts w:ascii="Times New Roman" w:hAnsi="Times New Roman"/>
          <w:sz w:val="24"/>
          <w:szCs w:val="24"/>
        </w:rPr>
        <w:t xml:space="preserve"> being the overwhelming majority in this category</w:t>
      </w:r>
      <w:r>
        <w:rPr>
          <w:rFonts w:ascii="Times New Roman" w:hAnsi="Times New Roman"/>
          <w:sz w:val="24"/>
          <w:szCs w:val="24"/>
        </w:rPr>
        <w:t>) acquired English between ages 1-5; 97(37.3%) learned English between ages 6-10; 24(9.2%) learned it between ages 11-18 while 2 (0.8%) learnt it after 19 years. While 5 (1.9%) failed to report how many languages were in their repertoire, 197(75.8%) spoke 2 languages while 58 (22.3) spoke 3 languages</w:t>
      </w:r>
      <w:r w:rsidR="004B7EBD">
        <w:rPr>
          <w:rFonts w:ascii="Times New Roman" w:hAnsi="Times New Roman"/>
          <w:sz w:val="24"/>
          <w:szCs w:val="24"/>
        </w:rPr>
        <w:t xml:space="preserve"> (which included different local and foreign languages such as Igbo,</w:t>
      </w:r>
      <w:r w:rsidR="00457192">
        <w:rPr>
          <w:rFonts w:ascii="Times New Roman" w:hAnsi="Times New Roman"/>
          <w:sz w:val="24"/>
          <w:szCs w:val="24"/>
        </w:rPr>
        <w:t xml:space="preserve"> Cantonese,</w:t>
      </w:r>
      <w:r w:rsidR="004B7EBD">
        <w:rPr>
          <w:rFonts w:ascii="Times New Roman" w:hAnsi="Times New Roman"/>
          <w:sz w:val="24"/>
          <w:szCs w:val="24"/>
        </w:rPr>
        <w:t xml:space="preserve"> French,</w:t>
      </w:r>
      <w:r w:rsidR="00457192">
        <w:rPr>
          <w:rFonts w:ascii="Times New Roman" w:hAnsi="Times New Roman"/>
          <w:sz w:val="24"/>
          <w:szCs w:val="24"/>
        </w:rPr>
        <w:t xml:space="preserve"> Arabic, etc. </w:t>
      </w:r>
      <w:r>
        <w:rPr>
          <w:rFonts w:ascii="Times New Roman" w:hAnsi="Times New Roman"/>
          <w:sz w:val="24"/>
          <w:szCs w:val="24"/>
        </w:rPr>
        <w:t xml:space="preserve">The Yoruba-English bilinguals were in a society where English is used as language of governance and official communication which explains why all of them were simultaneous bilinguals. However, the Chinese mainly used their native languages in China without any access to English till they came over to the United States or were sent to English schools in China. This explains why majority of the Chinese learned English after age 6. The research was conducted on </w:t>
      </w:r>
      <w:r w:rsidR="003639D2">
        <w:rPr>
          <w:rFonts w:ascii="Times New Roman" w:hAnsi="Times New Roman"/>
          <w:sz w:val="24"/>
          <w:szCs w:val="24"/>
        </w:rPr>
        <w:t>b</w:t>
      </w:r>
      <w:r>
        <w:rPr>
          <w:rFonts w:ascii="Times New Roman" w:hAnsi="Times New Roman"/>
          <w:sz w:val="24"/>
          <w:szCs w:val="24"/>
        </w:rPr>
        <w:t>ilinguals which automatically translates to all respondents speaking 2 languages, at least.</w:t>
      </w:r>
    </w:p>
    <w:p w14:paraId="2F52C939" w14:textId="77777777" w:rsidR="00D426D1" w:rsidRPr="00A12925" w:rsidRDefault="00D426D1" w:rsidP="00196624">
      <w:pPr>
        <w:pStyle w:val="ListParagraph"/>
        <w:numPr>
          <w:ilvl w:val="1"/>
          <w:numId w:val="9"/>
        </w:numPr>
        <w:autoSpaceDE w:val="0"/>
        <w:autoSpaceDN w:val="0"/>
        <w:adjustRightInd w:val="0"/>
        <w:spacing w:beforeLines="50" w:before="120" w:afterLines="50" w:after="120" w:line="240" w:lineRule="auto"/>
        <w:rPr>
          <w:rFonts w:ascii="Times New Roman" w:hAnsi="Times New Roman"/>
          <w:b/>
          <w:sz w:val="24"/>
          <w:szCs w:val="24"/>
        </w:rPr>
      </w:pPr>
      <w:r w:rsidRPr="00A12925">
        <w:rPr>
          <w:rFonts w:ascii="Times New Roman" w:hAnsi="Times New Roman"/>
          <w:b/>
          <w:sz w:val="24"/>
          <w:szCs w:val="24"/>
        </w:rPr>
        <w:t>Favorite Colors</w:t>
      </w:r>
    </w:p>
    <w:p w14:paraId="15FE601C" w14:textId="77777777" w:rsidR="00D426D1" w:rsidRDefault="00D426D1" w:rsidP="00196624">
      <w:pPr>
        <w:autoSpaceDE w:val="0"/>
        <w:autoSpaceDN w:val="0"/>
        <w:adjustRightInd w:val="0"/>
        <w:spacing w:beforeLines="50" w:before="120" w:afterLines="50" w:after="120" w:line="240" w:lineRule="auto"/>
        <w:rPr>
          <w:rFonts w:ascii="Times New Roman" w:hAnsi="Times New Roman"/>
          <w:sz w:val="24"/>
          <w:szCs w:val="24"/>
        </w:rPr>
      </w:pPr>
      <w:r>
        <w:rPr>
          <w:rFonts w:ascii="Times New Roman" w:hAnsi="Times New Roman"/>
          <w:sz w:val="24"/>
          <w:szCs w:val="24"/>
        </w:rPr>
        <w:t>The favorite colors selected by respondents were analyzed along the lines of ethnicity and also the lines of gender.</w:t>
      </w:r>
    </w:p>
    <w:p w14:paraId="5AB9C1D3"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234DA993"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756F31C8"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45D5CD80"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36398D7A"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58F56353"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58F05778"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17587B26"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38793181"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1C6CED65"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7B253F83" w14:textId="77777777" w:rsidR="00D426D1" w:rsidRPr="003C3456" w:rsidRDefault="00D426D1" w:rsidP="00196624">
      <w:pPr>
        <w:autoSpaceDE w:val="0"/>
        <w:autoSpaceDN w:val="0"/>
        <w:adjustRightInd w:val="0"/>
        <w:spacing w:beforeLines="50" w:before="120" w:afterLines="50" w:after="120" w:line="240" w:lineRule="auto"/>
        <w:rPr>
          <w:rFonts w:ascii="Times New Roman" w:hAnsi="Times New Roman"/>
          <w:b/>
          <w:sz w:val="24"/>
          <w:szCs w:val="24"/>
        </w:rPr>
      </w:pPr>
      <w:r>
        <w:rPr>
          <w:rFonts w:ascii="Times New Roman" w:hAnsi="Times New Roman"/>
          <w:b/>
          <w:sz w:val="24"/>
          <w:szCs w:val="24"/>
        </w:rPr>
        <w:lastRenderedPageBreak/>
        <w:t>Table 1. Favorite Colors</w:t>
      </w:r>
    </w:p>
    <w:tbl>
      <w:tblPr>
        <w:tblW w:w="11260" w:type="dxa"/>
        <w:tblInd w:w="-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9"/>
        <w:gridCol w:w="1248"/>
        <w:gridCol w:w="903"/>
        <w:gridCol w:w="810"/>
        <w:gridCol w:w="630"/>
        <w:gridCol w:w="810"/>
        <w:gridCol w:w="900"/>
        <w:gridCol w:w="810"/>
        <w:gridCol w:w="720"/>
        <w:gridCol w:w="810"/>
        <w:gridCol w:w="900"/>
        <w:gridCol w:w="910"/>
        <w:gridCol w:w="900"/>
      </w:tblGrid>
      <w:tr w:rsidR="00D426D1" w:rsidRPr="00BD6690" w14:paraId="21194702" w14:textId="77777777" w:rsidTr="00C70B57">
        <w:trPr>
          <w:cantSplit/>
        </w:trPr>
        <w:tc>
          <w:tcPr>
            <w:tcW w:w="3060" w:type="dxa"/>
            <w:gridSpan w:val="3"/>
            <w:vMerge w:val="restart"/>
            <w:tcBorders>
              <w:top w:val="single" w:sz="16" w:space="0" w:color="000000"/>
              <w:left w:val="single" w:sz="16" w:space="0" w:color="000000"/>
              <w:bottom w:val="nil"/>
              <w:right w:val="nil"/>
            </w:tcBorders>
            <w:shd w:val="clear" w:color="auto" w:fill="FFFFFF"/>
          </w:tcPr>
          <w:p w14:paraId="5F027F65"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Gender</w:t>
            </w:r>
          </w:p>
        </w:tc>
        <w:tc>
          <w:tcPr>
            <w:tcW w:w="7300" w:type="dxa"/>
            <w:gridSpan w:val="9"/>
            <w:tcBorders>
              <w:top w:val="single" w:sz="16" w:space="0" w:color="000000"/>
              <w:left w:val="single" w:sz="16" w:space="0" w:color="000000"/>
            </w:tcBorders>
            <w:shd w:val="clear" w:color="auto" w:fill="FFFFFF"/>
          </w:tcPr>
          <w:p w14:paraId="7DDE3ACD"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Favorite color</w:t>
            </w:r>
          </w:p>
        </w:tc>
        <w:tc>
          <w:tcPr>
            <w:tcW w:w="900" w:type="dxa"/>
            <w:vMerge w:val="restart"/>
            <w:tcBorders>
              <w:top w:val="single" w:sz="16" w:space="0" w:color="000000"/>
              <w:right w:val="single" w:sz="16" w:space="0" w:color="000000"/>
            </w:tcBorders>
            <w:shd w:val="clear" w:color="auto" w:fill="FFFFFF"/>
          </w:tcPr>
          <w:p w14:paraId="5182C701"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14:paraId="044C49CF" w14:textId="77777777" w:rsidTr="00C70B57">
        <w:trPr>
          <w:cantSplit/>
        </w:trPr>
        <w:tc>
          <w:tcPr>
            <w:tcW w:w="3060" w:type="dxa"/>
            <w:gridSpan w:val="3"/>
            <w:vMerge/>
            <w:tcBorders>
              <w:top w:val="single" w:sz="16" w:space="0" w:color="000000"/>
              <w:left w:val="single" w:sz="16" w:space="0" w:color="000000"/>
              <w:bottom w:val="nil"/>
              <w:right w:val="nil"/>
            </w:tcBorders>
            <w:shd w:val="clear" w:color="auto" w:fill="FFFFFF"/>
          </w:tcPr>
          <w:p w14:paraId="61C5E2CE"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810" w:type="dxa"/>
            <w:tcBorders>
              <w:left w:val="single" w:sz="16" w:space="0" w:color="000000"/>
              <w:bottom w:val="single" w:sz="16" w:space="0" w:color="000000"/>
            </w:tcBorders>
            <w:shd w:val="clear" w:color="auto" w:fill="FFFFFF"/>
          </w:tcPr>
          <w:p w14:paraId="7F9AD2D2"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630" w:type="dxa"/>
            <w:tcBorders>
              <w:bottom w:val="single" w:sz="16" w:space="0" w:color="000000"/>
            </w:tcBorders>
            <w:shd w:val="clear" w:color="auto" w:fill="FFFFFF"/>
          </w:tcPr>
          <w:p w14:paraId="7196C842"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810" w:type="dxa"/>
            <w:tcBorders>
              <w:bottom w:val="single" w:sz="16" w:space="0" w:color="000000"/>
            </w:tcBorders>
            <w:shd w:val="clear" w:color="auto" w:fill="FFFFFF"/>
          </w:tcPr>
          <w:p w14:paraId="408D837D"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900" w:type="dxa"/>
            <w:tcBorders>
              <w:bottom w:val="single" w:sz="16" w:space="0" w:color="000000"/>
            </w:tcBorders>
            <w:shd w:val="clear" w:color="auto" w:fill="FFFFFF"/>
          </w:tcPr>
          <w:p w14:paraId="0FFA2176"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810" w:type="dxa"/>
            <w:tcBorders>
              <w:bottom w:val="single" w:sz="16" w:space="0" w:color="000000"/>
            </w:tcBorders>
            <w:shd w:val="clear" w:color="auto" w:fill="FFFFFF"/>
          </w:tcPr>
          <w:p w14:paraId="09E2778C"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14:paraId="5010FADE"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810" w:type="dxa"/>
            <w:tcBorders>
              <w:bottom w:val="single" w:sz="16" w:space="0" w:color="000000"/>
            </w:tcBorders>
            <w:shd w:val="clear" w:color="auto" w:fill="FFFFFF"/>
          </w:tcPr>
          <w:p w14:paraId="3674FBA7"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900" w:type="dxa"/>
            <w:tcBorders>
              <w:bottom w:val="single" w:sz="16" w:space="0" w:color="000000"/>
            </w:tcBorders>
            <w:shd w:val="clear" w:color="auto" w:fill="FFFFFF"/>
          </w:tcPr>
          <w:p w14:paraId="40E709D0"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910" w:type="dxa"/>
            <w:tcBorders>
              <w:bottom w:val="single" w:sz="16" w:space="0" w:color="000000"/>
            </w:tcBorders>
            <w:shd w:val="clear" w:color="auto" w:fill="FFFFFF"/>
          </w:tcPr>
          <w:p w14:paraId="7A7049B9"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900" w:type="dxa"/>
            <w:vMerge/>
            <w:tcBorders>
              <w:top w:val="single" w:sz="16" w:space="0" w:color="000000"/>
              <w:right w:val="single" w:sz="16" w:space="0" w:color="000000"/>
            </w:tcBorders>
            <w:shd w:val="clear" w:color="auto" w:fill="FFFFFF"/>
          </w:tcPr>
          <w:p w14:paraId="40C94441"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14:paraId="1865B5A6" w14:textId="77777777" w:rsidTr="00C70B57">
        <w:trPr>
          <w:cantSplit/>
        </w:trPr>
        <w:tc>
          <w:tcPr>
            <w:tcW w:w="909" w:type="dxa"/>
            <w:vMerge w:val="restart"/>
            <w:tcBorders>
              <w:top w:val="single" w:sz="16" w:space="0" w:color="000000"/>
              <w:left w:val="single" w:sz="16" w:space="0" w:color="000000"/>
              <w:bottom w:val="nil"/>
              <w:right w:val="nil"/>
            </w:tcBorders>
            <w:shd w:val="clear" w:color="auto" w:fill="FFFFFF"/>
            <w:vAlign w:val="center"/>
          </w:tcPr>
          <w:p w14:paraId="7DB835A7"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Male</w:t>
            </w:r>
          </w:p>
        </w:tc>
        <w:tc>
          <w:tcPr>
            <w:tcW w:w="1248" w:type="dxa"/>
            <w:vMerge w:val="restart"/>
            <w:tcBorders>
              <w:top w:val="single" w:sz="16" w:space="0" w:color="000000"/>
              <w:left w:val="nil"/>
              <w:bottom w:val="nil"/>
              <w:right w:val="nil"/>
            </w:tcBorders>
            <w:shd w:val="clear" w:color="auto" w:fill="FFFFFF"/>
            <w:vAlign w:val="center"/>
          </w:tcPr>
          <w:p w14:paraId="1EEF555C"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single" w:sz="16" w:space="0" w:color="000000"/>
              <w:left w:val="nil"/>
              <w:bottom w:val="nil"/>
              <w:right w:val="single" w:sz="16" w:space="0" w:color="000000"/>
            </w:tcBorders>
            <w:shd w:val="clear" w:color="auto" w:fill="FFFFFF"/>
            <w:vAlign w:val="center"/>
          </w:tcPr>
          <w:p w14:paraId="5EAA707A"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single" w:sz="16" w:space="0" w:color="000000"/>
              <w:left w:val="single" w:sz="16" w:space="0" w:color="000000"/>
              <w:bottom w:val="nil"/>
            </w:tcBorders>
            <w:shd w:val="clear" w:color="auto" w:fill="FFFFFF"/>
            <w:vAlign w:val="center"/>
          </w:tcPr>
          <w:p w14:paraId="4BA9F22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630" w:type="dxa"/>
            <w:tcBorders>
              <w:top w:val="single" w:sz="16" w:space="0" w:color="000000"/>
              <w:bottom w:val="nil"/>
            </w:tcBorders>
            <w:shd w:val="clear" w:color="auto" w:fill="FFFFFF"/>
            <w:vAlign w:val="center"/>
          </w:tcPr>
          <w:p w14:paraId="51BBA95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single" w:sz="16" w:space="0" w:color="000000"/>
              <w:bottom w:val="nil"/>
            </w:tcBorders>
            <w:shd w:val="clear" w:color="auto" w:fill="FFFFFF"/>
            <w:vAlign w:val="center"/>
          </w:tcPr>
          <w:p w14:paraId="275C736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900" w:type="dxa"/>
            <w:tcBorders>
              <w:top w:val="single" w:sz="16" w:space="0" w:color="000000"/>
              <w:bottom w:val="nil"/>
            </w:tcBorders>
            <w:shd w:val="clear" w:color="auto" w:fill="FFFFFF"/>
            <w:vAlign w:val="center"/>
          </w:tcPr>
          <w:p w14:paraId="20C324F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14:paraId="796E9BB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14:paraId="23593A0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single" w:sz="16" w:space="0" w:color="000000"/>
              <w:bottom w:val="nil"/>
            </w:tcBorders>
            <w:shd w:val="clear" w:color="auto" w:fill="FFFFFF"/>
            <w:vAlign w:val="center"/>
          </w:tcPr>
          <w:p w14:paraId="3113604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single" w:sz="16" w:space="0" w:color="000000"/>
              <w:bottom w:val="nil"/>
            </w:tcBorders>
            <w:shd w:val="clear" w:color="auto" w:fill="FFFFFF"/>
            <w:vAlign w:val="center"/>
          </w:tcPr>
          <w:p w14:paraId="4F615FC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10" w:type="dxa"/>
            <w:tcBorders>
              <w:top w:val="single" w:sz="16" w:space="0" w:color="000000"/>
              <w:bottom w:val="nil"/>
            </w:tcBorders>
            <w:shd w:val="clear" w:color="auto" w:fill="FFFFFF"/>
            <w:vAlign w:val="center"/>
          </w:tcPr>
          <w:p w14:paraId="65A53DC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900" w:type="dxa"/>
            <w:tcBorders>
              <w:top w:val="single" w:sz="16" w:space="0" w:color="000000"/>
              <w:bottom w:val="nil"/>
              <w:right w:val="single" w:sz="16" w:space="0" w:color="000000"/>
            </w:tcBorders>
            <w:shd w:val="clear" w:color="auto" w:fill="FFFFFF"/>
            <w:vAlign w:val="center"/>
          </w:tcPr>
          <w:p w14:paraId="0F3FA9E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64</w:t>
            </w:r>
          </w:p>
        </w:tc>
      </w:tr>
      <w:tr w:rsidR="00D426D1" w:rsidRPr="00BD6690" w14:paraId="74831BC3" w14:textId="77777777"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14:paraId="10F653A9"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single" w:sz="16" w:space="0" w:color="000000"/>
              <w:left w:val="nil"/>
              <w:bottom w:val="nil"/>
              <w:right w:val="nil"/>
            </w:tcBorders>
            <w:shd w:val="clear" w:color="auto" w:fill="FFFFFF"/>
            <w:vAlign w:val="center"/>
          </w:tcPr>
          <w:p w14:paraId="54F43044"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14:paraId="36EC918C"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0560" behindDoc="0" locked="0" layoutInCell="1" allowOverlap="1" wp14:anchorId="2E75E7D0" wp14:editId="7C4AD74C">
                      <wp:simplePos x="0" y="0"/>
                      <wp:positionH relativeFrom="column">
                        <wp:posOffset>68580</wp:posOffset>
                      </wp:positionH>
                      <wp:positionV relativeFrom="paragraph">
                        <wp:posOffset>-6350</wp:posOffset>
                      </wp:positionV>
                      <wp:extent cx="5727700" cy="19050"/>
                      <wp:effectExtent l="0" t="0" r="6350" b="0"/>
                      <wp:wrapNone/>
                      <wp:docPr id="2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277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877AA6" id="_x0000_t32" coordsize="21600,21600" o:spt="32" o:oned="t" path="m,l21600,21600e" filled="f">
                      <v:path arrowok="t" fillok="f" o:connecttype="none"/>
                      <o:lock v:ext="edit" shapetype="t"/>
                    </v:shapetype>
                    <v:shape id="AutoShape 7" o:spid="_x0000_s1026" type="#_x0000_t32" style="position:absolute;margin-left:5.4pt;margin-top:-.5pt;width:451pt;height:1.5pt;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">
                      <o:lock v:ext="edit" shapetype="f"/>
                    </v:shape>
                  </w:pict>
                </mc:Fallback>
              </mc:AlternateConten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14:paraId="2C98707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630" w:type="dxa"/>
            <w:tcBorders>
              <w:top w:val="nil"/>
              <w:bottom w:val="nil"/>
            </w:tcBorders>
            <w:shd w:val="clear" w:color="auto" w:fill="FFFFFF"/>
            <w:vAlign w:val="center"/>
          </w:tcPr>
          <w:p w14:paraId="6F1F5F7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810" w:type="dxa"/>
            <w:tcBorders>
              <w:top w:val="nil"/>
              <w:bottom w:val="nil"/>
            </w:tcBorders>
            <w:shd w:val="clear" w:color="auto" w:fill="FFFFFF"/>
            <w:vAlign w:val="center"/>
          </w:tcPr>
          <w:p w14:paraId="219D669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900" w:type="dxa"/>
            <w:tcBorders>
              <w:top w:val="nil"/>
              <w:bottom w:val="nil"/>
            </w:tcBorders>
            <w:shd w:val="clear" w:color="auto" w:fill="FFFFFF"/>
            <w:vAlign w:val="center"/>
          </w:tcPr>
          <w:p w14:paraId="2E748D8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14:paraId="486697D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14:paraId="22DBC92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14:paraId="64BFCF6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900" w:type="dxa"/>
            <w:tcBorders>
              <w:top w:val="nil"/>
              <w:bottom w:val="nil"/>
            </w:tcBorders>
            <w:shd w:val="clear" w:color="auto" w:fill="FFFFFF"/>
            <w:vAlign w:val="center"/>
          </w:tcPr>
          <w:p w14:paraId="2D84892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910" w:type="dxa"/>
            <w:tcBorders>
              <w:top w:val="nil"/>
              <w:bottom w:val="nil"/>
            </w:tcBorders>
            <w:shd w:val="clear" w:color="auto" w:fill="FFFFFF"/>
            <w:vAlign w:val="center"/>
          </w:tcPr>
          <w:p w14:paraId="508E2B6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900" w:type="dxa"/>
            <w:tcBorders>
              <w:top w:val="nil"/>
              <w:bottom w:val="nil"/>
              <w:right w:val="single" w:sz="16" w:space="0" w:color="000000"/>
            </w:tcBorders>
            <w:shd w:val="clear" w:color="auto" w:fill="FFFFFF"/>
            <w:vAlign w:val="center"/>
          </w:tcPr>
          <w:p w14:paraId="7923FBE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 xml:space="preserve">64 </w:t>
            </w:r>
          </w:p>
        </w:tc>
      </w:tr>
      <w:tr w:rsidR="00D426D1" w:rsidRPr="00BD6690" w14:paraId="5602419A" w14:textId="77777777"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14:paraId="64CD020C"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14:paraId="27D46A17"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4294967295" distB="4294967295" distL="114300" distR="114300" simplePos="0" relativeHeight="251647488" behindDoc="0" locked="0" layoutInCell="1" allowOverlap="1" wp14:anchorId="5E327C6A" wp14:editId="51DBC772">
                      <wp:simplePos x="0" y="0"/>
                      <wp:positionH relativeFrom="column">
                        <wp:posOffset>13335</wp:posOffset>
                      </wp:positionH>
                      <wp:positionV relativeFrom="paragraph">
                        <wp:posOffset>-32386</wp:posOffset>
                      </wp:positionV>
                      <wp:extent cx="6556375" cy="0"/>
                      <wp:effectExtent l="0" t="0" r="0" b="0"/>
                      <wp:wrapNone/>
                      <wp:docPr id="2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EE6F70" id="AutoShape 3" o:spid="_x0000_s1026" type="#_x0000_t32" style="position:absolute;margin-left:1.05pt;margin-top:-2.55pt;width:516.25pt;height:0;z-index:251647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">
                      <o:lock v:ext="edit" shapetype="f"/>
                    </v:shape>
                  </w:pict>
                </mc:Fallback>
              </mc:AlternateContent>
            </w:r>
            <w:r w:rsidR="00D426D1" w:rsidRPr="00BD6690">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14:paraId="1AF6C52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31</w:t>
            </w:r>
          </w:p>
        </w:tc>
        <w:tc>
          <w:tcPr>
            <w:tcW w:w="630" w:type="dxa"/>
            <w:tcBorders>
              <w:top w:val="nil"/>
              <w:bottom w:val="nil"/>
            </w:tcBorders>
            <w:shd w:val="clear" w:color="auto" w:fill="FFFFFF"/>
            <w:vAlign w:val="center"/>
          </w:tcPr>
          <w:p w14:paraId="07F5557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810" w:type="dxa"/>
            <w:tcBorders>
              <w:top w:val="nil"/>
              <w:bottom w:val="nil"/>
            </w:tcBorders>
            <w:shd w:val="clear" w:color="auto" w:fill="FFFFFF"/>
            <w:vAlign w:val="center"/>
          </w:tcPr>
          <w:p w14:paraId="69DD4F5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w:t>
            </w:r>
          </w:p>
        </w:tc>
        <w:tc>
          <w:tcPr>
            <w:tcW w:w="900" w:type="dxa"/>
            <w:tcBorders>
              <w:top w:val="nil"/>
              <w:bottom w:val="nil"/>
            </w:tcBorders>
            <w:shd w:val="clear" w:color="auto" w:fill="FFFFFF"/>
            <w:vAlign w:val="center"/>
          </w:tcPr>
          <w:p w14:paraId="6A3A6A0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810" w:type="dxa"/>
            <w:tcBorders>
              <w:top w:val="nil"/>
              <w:bottom w:val="nil"/>
            </w:tcBorders>
            <w:shd w:val="clear" w:color="auto" w:fill="FFFFFF"/>
            <w:vAlign w:val="center"/>
          </w:tcPr>
          <w:p w14:paraId="5E02F7D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720" w:type="dxa"/>
            <w:tcBorders>
              <w:top w:val="nil"/>
              <w:bottom w:val="nil"/>
            </w:tcBorders>
            <w:shd w:val="clear" w:color="auto" w:fill="FFFFFF"/>
            <w:vAlign w:val="center"/>
          </w:tcPr>
          <w:p w14:paraId="32EBF19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810" w:type="dxa"/>
            <w:tcBorders>
              <w:top w:val="nil"/>
              <w:bottom w:val="nil"/>
            </w:tcBorders>
            <w:shd w:val="clear" w:color="auto" w:fill="FFFFFF"/>
            <w:vAlign w:val="center"/>
          </w:tcPr>
          <w:p w14:paraId="20A0F87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w:t>
            </w:r>
          </w:p>
        </w:tc>
        <w:tc>
          <w:tcPr>
            <w:tcW w:w="900" w:type="dxa"/>
            <w:tcBorders>
              <w:top w:val="nil"/>
              <w:bottom w:val="nil"/>
            </w:tcBorders>
            <w:shd w:val="clear" w:color="auto" w:fill="FFFFFF"/>
            <w:vAlign w:val="center"/>
          </w:tcPr>
          <w:p w14:paraId="5A67C9D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910" w:type="dxa"/>
            <w:tcBorders>
              <w:top w:val="nil"/>
              <w:bottom w:val="nil"/>
            </w:tcBorders>
            <w:shd w:val="clear" w:color="auto" w:fill="FFFFFF"/>
            <w:vAlign w:val="center"/>
          </w:tcPr>
          <w:p w14:paraId="5AB6045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900" w:type="dxa"/>
            <w:tcBorders>
              <w:top w:val="nil"/>
              <w:bottom w:val="nil"/>
              <w:right w:val="single" w:sz="16" w:space="0" w:color="000000"/>
            </w:tcBorders>
            <w:shd w:val="clear" w:color="auto" w:fill="FFFFFF"/>
            <w:vAlign w:val="center"/>
          </w:tcPr>
          <w:p w14:paraId="13D10D9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128</w:t>
            </w:r>
          </w:p>
        </w:tc>
      </w:tr>
      <w:tr w:rsidR="00D426D1" w:rsidRPr="00BD6690" w14:paraId="0DB7B870" w14:textId="77777777" w:rsidTr="00C70B57">
        <w:trPr>
          <w:cantSplit/>
        </w:trPr>
        <w:tc>
          <w:tcPr>
            <w:tcW w:w="909" w:type="dxa"/>
            <w:vMerge w:val="restart"/>
            <w:tcBorders>
              <w:top w:val="nil"/>
              <w:left w:val="single" w:sz="16" w:space="0" w:color="000000"/>
              <w:bottom w:val="nil"/>
              <w:right w:val="nil"/>
            </w:tcBorders>
            <w:shd w:val="clear" w:color="auto" w:fill="FFFFFF"/>
            <w:vAlign w:val="center"/>
          </w:tcPr>
          <w:p w14:paraId="2F9B8730"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46464" behindDoc="0" locked="0" layoutInCell="1" allowOverlap="1" wp14:anchorId="777F518D" wp14:editId="6A689910">
                      <wp:simplePos x="0" y="0"/>
                      <wp:positionH relativeFrom="column">
                        <wp:posOffset>-5080</wp:posOffset>
                      </wp:positionH>
                      <wp:positionV relativeFrom="paragraph">
                        <wp:posOffset>-251460</wp:posOffset>
                      </wp:positionV>
                      <wp:extent cx="7162800" cy="9525"/>
                      <wp:effectExtent l="0" t="0" r="0" b="9525"/>
                      <wp:wrapNone/>
                      <wp:docPr id="2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628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779876" id="AutoShape 2" o:spid="_x0000_s1026" type="#_x0000_t32" style="position:absolute;margin-left:-.4pt;margin-top:-19.8pt;width:564pt;height:.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">
                      <o:lock v:ext="edit" shapetype="f"/>
                    </v:shape>
                  </w:pict>
                </mc:Fallback>
              </mc:AlternateContent>
            </w:r>
            <w:r>
              <w:rPr>
                <w:noProof/>
              </w:rPr>
              <mc:AlternateContent>
                <mc:Choice Requires="wps">
                  <w:drawing>
                    <wp:anchor distT="0" distB="0" distL="114300" distR="114300" simplePos="0" relativeHeight="251648512" behindDoc="0" locked="0" layoutInCell="1" allowOverlap="1" wp14:anchorId="49C4EAFB" wp14:editId="227775CE">
                      <wp:simplePos x="0" y="0"/>
                      <wp:positionH relativeFrom="column">
                        <wp:posOffset>523875</wp:posOffset>
                      </wp:positionH>
                      <wp:positionV relativeFrom="paragraph">
                        <wp:posOffset>315595</wp:posOffset>
                      </wp:positionV>
                      <wp:extent cx="6619875" cy="19050"/>
                      <wp:effectExtent l="0" t="0" r="9525" b="0"/>
                      <wp:wrapNone/>
                      <wp:docPr id="2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6198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8A924C" id="AutoShape 5" o:spid="_x0000_s1026" type="#_x0000_t32" style="position:absolute;margin-left:41.25pt;margin-top:24.85pt;width:521.25pt;height:1.5pt;flip:x;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">
                      <o:lock v:ext="edit" shapetype="f"/>
                    </v:shape>
                  </w:pict>
                </mc:Fallback>
              </mc:AlternateContent>
            </w:r>
            <w:r w:rsidR="00D426D1" w:rsidRPr="00BD6690">
              <w:rPr>
                <w:rFonts w:ascii="Arial" w:hAnsi="Arial" w:cs="Arial"/>
                <w:color w:val="000000"/>
                <w:sz w:val="18"/>
                <w:szCs w:val="18"/>
              </w:rPr>
              <w:t>Female</w:t>
            </w:r>
          </w:p>
        </w:tc>
        <w:tc>
          <w:tcPr>
            <w:tcW w:w="1248" w:type="dxa"/>
            <w:vMerge w:val="restart"/>
            <w:tcBorders>
              <w:top w:val="nil"/>
              <w:left w:val="nil"/>
              <w:bottom w:val="nil"/>
              <w:right w:val="nil"/>
            </w:tcBorders>
            <w:shd w:val="clear" w:color="auto" w:fill="FFFFFF"/>
            <w:vAlign w:val="center"/>
          </w:tcPr>
          <w:p w14:paraId="7C9E18E5"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14:paraId="582E0EF0"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14:paraId="79FFEFD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630" w:type="dxa"/>
            <w:tcBorders>
              <w:top w:val="nil"/>
              <w:bottom w:val="nil"/>
            </w:tcBorders>
            <w:shd w:val="clear" w:color="auto" w:fill="FFFFFF"/>
            <w:vAlign w:val="center"/>
          </w:tcPr>
          <w:p w14:paraId="6AA1F9F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14:paraId="62FEEB7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900" w:type="dxa"/>
            <w:tcBorders>
              <w:top w:val="nil"/>
              <w:bottom w:val="nil"/>
            </w:tcBorders>
            <w:shd w:val="clear" w:color="auto" w:fill="FFFFFF"/>
            <w:vAlign w:val="center"/>
          </w:tcPr>
          <w:p w14:paraId="689C2EA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14:paraId="4AB701F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14:paraId="69D2D17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14:paraId="57B9DA2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nil"/>
              <w:bottom w:val="nil"/>
            </w:tcBorders>
            <w:shd w:val="clear" w:color="auto" w:fill="FFFFFF"/>
            <w:vAlign w:val="center"/>
          </w:tcPr>
          <w:p w14:paraId="0FF2FEE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910" w:type="dxa"/>
            <w:tcBorders>
              <w:top w:val="nil"/>
              <w:bottom w:val="nil"/>
            </w:tcBorders>
            <w:shd w:val="clear" w:color="auto" w:fill="FFFFFF"/>
            <w:vAlign w:val="center"/>
          </w:tcPr>
          <w:p w14:paraId="7829E3F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00" w:type="dxa"/>
            <w:tcBorders>
              <w:top w:val="nil"/>
              <w:bottom w:val="nil"/>
              <w:right w:val="single" w:sz="16" w:space="0" w:color="000000"/>
            </w:tcBorders>
            <w:shd w:val="clear" w:color="auto" w:fill="FFFFFF"/>
            <w:vAlign w:val="center"/>
          </w:tcPr>
          <w:p w14:paraId="7A1B8B3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53</w:t>
            </w:r>
          </w:p>
        </w:tc>
      </w:tr>
      <w:tr w:rsidR="00D426D1" w:rsidRPr="00BD6690" w14:paraId="1683AD75" w14:textId="77777777" w:rsidTr="00C70B57">
        <w:trPr>
          <w:cantSplit/>
        </w:trPr>
        <w:tc>
          <w:tcPr>
            <w:tcW w:w="909" w:type="dxa"/>
            <w:vMerge/>
            <w:tcBorders>
              <w:top w:val="nil"/>
              <w:left w:val="single" w:sz="16" w:space="0" w:color="000000"/>
              <w:bottom w:val="nil"/>
              <w:right w:val="nil"/>
            </w:tcBorders>
            <w:shd w:val="clear" w:color="auto" w:fill="FFFFFF"/>
            <w:vAlign w:val="center"/>
          </w:tcPr>
          <w:p w14:paraId="5C2B47E0"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nil"/>
              <w:left w:val="nil"/>
              <w:bottom w:val="nil"/>
              <w:right w:val="nil"/>
            </w:tcBorders>
            <w:shd w:val="clear" w:color="auto" w:fill="FFFFFF"/>
            <w:vAlign w:val="center"/>
          </w:tcPr>
          <w:p w14:paraId="03713625"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14:paraId="2936CDC9"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1584" behindDoc="0" locked="0" layoutInCell="1" allowOverlap="1" wp14:anchorId="5BEF1269" wp14:editId="7DA23748">
                      <wp:simplePos x="0" y="0"/>
                      <wp:positionH relativeFrom="column">
                        <wp:posOffset>68580</wp:posOffset>
                      </wp:positionH>
                      <wp:positionV relativeFrom="paragraph">
                        <wp:posOffset>-3175</wp:posOffset>
                      </wp:positionV>
                      <wp:extent cx="5727700" cy="28575"/>
                      <wp:effectExtent l="0" t="0" r="6350" b="9525"/>
                      <wp:wrapNone/>
                      <wp:docPr id="1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2770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AED394" id="AutoShape 8" o:spid="_x0000_s1026" type="#_x0000_t32" style="position:absolute;margin-left:5.4pt;margin-top:-.25pt;width:451pt;height:2.25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">
                      <o:lock v:ext="edit" shapetype="f"/>
                    </v:shape>
                  </w:pict>
                </mc:Fallback>
              </mc:AlternateConten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14:paraId="36814F2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14</w:t>
            </w:r>
          </w:p>
        </w:tc>
        <w:tc>
          <w:tcPr>
            <w:tcW w:w="630" w:type="dxa"/>
            <w:tcBorders>
              <w:top w:val="nil"/>
              <w:bottom w:val="nil"/>
            </w:tcBorders>
            <w:shd w:val="clear" w:color="auto" w:fill="FFFFFF"/>
            <w:vAlign w:val="center"/>
          </w:tcPr>
          <w:p w14:paraId="19C6F27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10" w:type="dxa"/>
            <w:tcBorders>
              <w:top w:val="nil"/>
              <w:bottom w:val="nil"/>
            </w:tcBorders>
            <w:shd w:val="clear" w:color="auto" w:fill="FFFFFF"/>
            <w:vAlign w:val="center"/>
          </w:tcPr>
          <w:p w14:paraId="0050DB3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900" w:type="dxa"/>
            <w:tcBorders>
              <w:top w:val="nil"/>
              <w:bottom w:val="nil"/>
            </w:tcBorders>
            <w:shd w:val="clear" w:color="auto" w:fill="FFFFFF"/>
            <w:vAlign w:val="center"/>
          </w:tcPr>
          <w:p w14:paraId="38F7470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10" w:type="dxa"/>
            <w:tcBorders>
              <w:top w:val="nil"/>
              <w:bottom w:val="nil"/>
            </w:tcBorders>
            <w:shd w:val="clear" w:color="auto" w:fill="FFFFFF"/>
            <w:vAlign w:val="center"/>
          </w:tcPr>
          <w:p w14:paraId="016C437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14:paraId="3164FA6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810" w:type="dxa"/>
            <w:tcBorders>
              <w:top w:val="nil"/>
              <w:bottom w:val="nil"/>
            </w:tcBorders>
            <w:shd w:val="clear" w:color="auto" w:fill="FFFFFF"/>
            <w:vAlign w:val="center"/>
          </w:tcPr>
          <w:p w14:paraId="09E6466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900" w:type="dxa"/>
            <w:tcBorders>
              <w:top w:val="nil"/>
              <w:bottom w:val="nil"/>
            </w:tcBorders>
            <w:shd w:val="clear" w:color="auto" w:fill="FFFFFF"/>
            <w:vAlign w:val="center"/>
          </w:tcPr>
          <w:p w14:paraId="62271F9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10" w:type="dxa"/>
            <w:tcBorders>
              <w:top w:val="nil"/>
              <w:bottom w:val="nil"/>
            </w:tcBorders>
            <w:shd w:val="clear" w:color="auto" w:fill="FFFFFF"/>
            <w:vAlign w:val="center"/>
          </w:tcPr>
          <w:p w14:paraId="11F2C67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900" w:type="dxa"/>
            <w:tcBorders>
              <w:top w:val="nil"/>
              <w:bottom w:val="nil"/>
              <w:right w:val="single" w:sz="16" w:space="0" w:color="000000"/>
            </w:tcBorders>
            <w:shd w:val="clear" w:color="auto" w:fill="FFFFFF"/>
            <w:vAlign w:val="center"/>
          </w:tcPr>
          <w:p w14:paraId="29B4C20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57</w:t>
            </w:r>
          </w:p>
        </w:tc>
      </w:tr>
      <w:tr w:rsidR="00D426D1" w:rsidRPr="00BD6690" w14:paraId="6D0D6C09" w14:textId="77777777" w:rsidTr="00C70B57">
        <w:trPr>
          <w:cantSplit/>
        </w:trPr>
        <w:tc>
          <w:tcPr>
            <w:tcW w:w="909" w:type="dxa"/>
            <w:vMerge/>
            <w:tcBorders>
              <w:top w:val="nil"/>
              <w:left w:val="single" w:sz="16" w:space="0" w:color="000000"/>
              <w:bottom w:val="nil"/>
              <w:right w:val="nil"/>
            </w:tcBorders>
            <w:shd w:val="clear" w:color="auto" w:fill="FFFFFF"/>
            <w:vAlign w:val="center"/>
          </w:tcPr>
          <w:p w14:paraId="54A2161A"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14:paraId="6936D0EA"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14:paraId="76F9894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22</w:t>
            </w:r>
          </w:p>
        </w:tc>
        <w:tc>
          <w:tcPr>
            <w:tcW w:w="630" w:type="dxa"/>
            <w:tcBorders>
              <w:top w:val="nil"/>
              <w:bottom w:val="nil"/>
            </w:tcBorders>
            <w:shd w:val="clear" w:color="auto" w:fill="FFFFFF"/>
            <w:vAlign w:val="center"/>
          </w:tcPr>
          <w:p w14:paraId="5E156F8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14:paraId="77650B3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16</w:t>
            </w:r>
          </w:p>
        </w:tc>
        <w:tc>
          <w:tcPr>
            <w:tcW w:w="900" w:type="dxa"/>
            <w:tcBorders>
              <w:top w:val="nil"/>
              <w:bottom w:val="nil"/>
            </w:tcBorders>
            <w:shd w:val="clear" w:color="auto" w:fill="FFFFFF"/>
            <w:vAlign w:val="center"/>
          </w:tcPr>
          <w:p w14:paraId="7A6C80D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14:paraId="2F97B11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720" w:type="dxa"/>
            <w:tcBorders>
              <w:top w:val="nil"/>
              <w:bottom w:val="nil"/>
            </w:tcBorders>
            <w:shd w:val="clear" w:color="auto" w:fill="FFFFFF"/>
            <w:vAlign w:val="center"/>
          </w:tcPr>
          <w:p w14:paraId="69728CD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810" w:type="dxa"/>
            <w:tcBorders>
              <w:top w:val="nil"/>
              <w:bottom w:val="nil"/>
            </w:tcBorders>
            <w:shd w:val="clear" w:color="auto" w:fill="FFFFFF"/>
            <w:vAlign w:val="center"/>
          </w:tcPr>
          <w:p w14:paraId="6A92C04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900" w:type="dxa"/>
            <w:tcBorders>
              <w:top w:val="nil"/>
              <w:bottom w:val="nil"/>
            </w:tcBorders>
            <w:shd w:val="clear" w:color="auto" w:fill="FFFFFF"/>
            <w:vAlign w:val="center"/>
          </w:tcPr>
          <w:p w14:paraId="1AE6E39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910" w:type="dxa"/>
            <w:tcBorders>
              <w:top w:val="nil"/>
              <w:bottom w:val="nil"/>
            </w:tcBorders>
            <w:shd w:val="clear" w:color="auto" w:fill="FFFFFF"/>
            <w:vAlign w:val="center"/>
          </w:tcPr>
          <w:p w14:paraId="26B51CF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900" w:type="dxa"/>
            <w:tcBorders>
              <w:top w:val="nil"/>
              <w:bottom w:val="nil"/>
              <w:right w:val="single" w:sz="16" w:space="0" w:color="000000"/>
            </w:tcBorders>
            <w:shd w:val="clear" w:color="auto" w:fill="FFFFFF"/>
            <w:vAlign w:val="center"/>
          </w:tcPr>
          <w:p w14:paraId="0D255A7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110</w:t>
            </w:r>
          </w:p>
        </w:tc>
      </w:tr>
      <w:tr w:rsidR="00D426D1" w:rsidRPr="00BD6690" w14:paraId="20E7EF72" w14:textId="77777777" w:rsidTr="00C70B57">
        <w:trPr>
          <w:cantSplit/>
        </w:trPr>
        <w:tc>
          <w:tcPr>
            <w:tcW w:w="909" w:type="dxa"/>
            <w:vMerge w:val="restart"/>
            <w:tcBorders>
              <w:top w:val="nil"/>
              <w:left w:val="single" w:sz="16" w:space="0" w:color="000000"/>
              <w:bottom w:val="single" w:sz="16" w:space="0" w:color="000000"/>
              <w:right w:val="nil"/>
            </w:tcBorders>
            <w:shd w:val="clear" w:color="auto" w:fill="FFFFFF"/>
            <w:vAlign w:val="center"/>
          </w:tcPr>
          <w:p w14:paraId="36F6946C"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4294967295" distB="4294967295" distL="114300" distR="114300" simplePos="0" relativeHeight="251653632" behindDoc="0" locked="0" layoutInCell="1" allowOverlap="1" wp14:anchorId="532FCFFF" wp14:editId="6C4B59CD">
                      <wp:simplePos x="0" y="0"/>
                      <wp:positionH relativeFrom="column">
                        <wp:posOffset>37465</wp:posOffset>
                      </wp:positionH>
                      <wp:positionV relativeFrom="paragraph">
                        <wp:posOffset>-308611</wp:posOffset>
                      </wp:positionV>
                      <wp:extent cx="7150100" cy="0"/>
                      <wp:effectExtent l="0" t="0" r="0" b="0"/>
                      <wp:wrapNone/>
                      <wp:docPr id="1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50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2BFD80" id="AutoShape 10" o:spid="_x0000_s1026" type="#_x0000_t32" style="position:absolute;margin-left:2.95pt;margin-top:-24.3pt;width:563pt;height:0;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">
                      <o:lock v:ext="edit" shapetype="f"/>
                    </v:shape>
                  </w:pict>
                </mc:Fallback>
              </mc:AlternateContent>
            </w:r>
            <w:r w:rsidR="00D426D1" w:rsidRPr="00BD6690">
              <w:rPr>
                <w:rFonts w:ascii="Arial" w:hAnsi="Arial" w:cs="Arial"/>
                <w:b/>
                <w:color w:val="000000"/>
                <w:sz w:val="18"/>
                <w:szCs w:val="18"/>
              </w:rPr>
              <w:t>Total</w:t>
            </w:r>
          </w:p>
        </w:tc>
        <w:tc>
          <w:tcPr>
            <w:tcW w:w="1248" w:type="dxa"/>
            <w:vMerge w:val="restart"/>
            <w:tcBorders>
              <w:top w:val="nil"/>
              <w:left w:val="nil"/>
              <w:bottom w:val="nil"/>
              <w:right w:val="nil"/>
            </w:tcBorders>
            <w:shd w:val="clear" w:color="auto" w:fill="FFFFFF"/>
            <w:vAlign w:val="center"/>
          </w:tcPr>
          <w:p w14:paraId="2CA8D684"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14:paraId="643A5347"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14:paraId="2C99B60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24</w:t>
            </w:r>
          </w:p>
        </w:tc>
        <w:tc>
          <w:tcPr>
            <w:tcW w:w="630" w:type="dxa"/>
            <w:tcBorders>
              <w:top w:val="nil"/>
              <w:bottom w:val="nil"/>
            </w:tcBorders>
            <w:shd w:val="clear" w:color="auto" w:fill="FFFFFF"/>
            <w:vAlign w:val="center"/>
          </w:tcPr>
          <w:p w14:paraId="1FE88E8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810" w:type="dxa"/>
            <w:tcBorders>
              <w:top w:val="nil"/>
              <w:bottom w:val="nil"/>
            </w:tcBorders>
            <w:shd w:val="clear" w:color="auto" w:fill="FFFFFF"/>
            <w:vAlign w:val="center"/>
          </w:tcPr>
          <w:p w14:paraId="37B060B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19</w:t>
            </w:r>
          </w:p>
        </w:tc>
        <w:tc>
          <w:tcPr>
            <w:tcW w:w="900" w:type="dxa"/>
            <w:tcBorders>
              <w:top w:val="nil"/>
              <w:bottom w:val="nil"/>
            </w:tcBorders>
            <w:shd w:val="clear" w:color="auto" w:fill="FFFFFF"/>
            <w:vAlign w:val="center"/>
          </w:tcPr>
          <w:p w14:paraId="047AB1C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14:paraId="7204128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14:paraId="2148F94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14:paraId="078FE00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26</w:t>
            </w:r>
          </w:p>
        </w:tc>
        <w:tc>
          <w:tcPr>
            <w:tcW w:w="900" w:type="dxa"/>
            <w:tcBorders>
              <w:top w:val="nil"/>
              <w:bottom w:val="nil"/>
            </w:tcBorders>
            <w:shd w:val="clear" w:color="auto" w:fill="FFFFFF"/>
            <w:vAlign w:val="center"/>
          </w:tcPr>
          <w:p w14:paraId="3593229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910" w:type="dxa"/>
            <w:tcBorders>
              <w:top w:val="nil"/>
              <w:bottom w:val="nil"/>
            </w:tcBorders>
            <w:shd w:val="clear" w:color="auto" w:fill="FFFFFF"/>
            <w:vAlign w:val="center"/>
          </w:tcPr>
          <w:p w14:paraId="68A3132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w:t>
            </w:r>
          </w:p>
        </w:tc>
        <w:tc>
          <w:tcPr>
            <w:tcW w:w="900" w:type="dxa"/>
            <w:tcBorders>
              <w:top w:val="nil"/>
              <w:bottom w:val="nil"/>
              <w:right w:val="single" w:sz="16" w:space="0" w:color="000000"/>
            </w:tcBorders>
            <w:shd w:val="clear" w:color="auto" w:fill="FFFFFF"/>
            <w:vAlign w:val="center"/>
          </w:tcPr>
          <w:p w14:paraId="5323D67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117</w:t>
            </w:r>
          </w:p>
        </w:tc>
      </w:tr>
      <w:tr w:rsidR="00D426D1" w:rsidRPr="00BD6690" w14:paraId="22CE2E40" w14:textId="77777777"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14:paraId="7CD9BC2E"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1248" w:type="dxa"/>
            <w:vMerge/>
            <w:tcBorders>
              <w:top w:val="nil"/>
              <w:left w:val="nil"/>
              <w:bottom w:val="nil"/>
              <w:right w:val="nil"/>
            </w:tcBorders>
            <w:shd w:val="clear" w:color="auto" w:fill="FFFFFF"/>
            <w:vAlign w:val="center"/>
          </w:tcPr>
          <w:p w14:paraId="481533C3"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14:paraId="706F8DD6"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2608" behindDoc="0" locked="0" layoutInCell="1" allowOverlap="1" wp14:anchorId="21C10A75" wp14:editId="05BADD16">
                      <wp:simplePos x="0" y="0"/>
                      <wp:positionH relativeFrom="column">
                        <wp:posOffset>68580</wp:posOffset>
                      </wp:positionH>
                      <wp:positionV relativeFrom="paragraph">
                        <wp:posOffset>-9525</wp:posOffset>
                      </wp:positionV>
                      <wp:extent cx="5727700" cy="9525"/>
                      <wp:effectExtent l="0" t="0" r="6350" b="9525"/>
                      <wp:wrapNone/>
                      <wp:docPr id="1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7277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F8CC2E" id="AutoShape 9" o:spid="_x0000_s1026" type="#_x0000_t32" style="position:absolute;margin-left:5.4pt;margin-top:-.75pt;width:451pt;height:.75pt;flip:x 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">
                      <o:lock v:ext="edit" shapetype="f"/>
                    </v:shape>
                  </w:pict>
                </mc:Fallback>
              </mc:AlternateConten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14:paraId="02A14E5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29</w:t>
            </w:r>
          </w:p>
        </w:tc>
        <w:tc>
          <w:tcPr>
            <w:tcW w:w="630" w:type="dxa"/>
            <w:tcBorders>
              <w:top w:val="nil"/>
              <w:bottom w:val="nil"/>
            </w:tcBorders>
            <w:shd w:val="clear" w:color="auto" w:fill="FFFFFF"/>
            <w:vAlign w:val="center"/>
          </w:tcPr>
          <w:p w14:paraId="014651C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810" w:type="dxa"/>
            <w:tcBorders>
              <w:top w:val="nil"/>
              <w:bottom w:val="nil"/>
            </w:tcBorders>
            <w:shd w:val="clear" w:color="auto" w:fill="FFFFFF"/>
            <w:vAlign w:val="center"/>
          </w:tcPr>
          <w:p w14:paraId="01BBABF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900" w:type="dxa"/>
            <w:tcBorders>
              <w:top w:val="nil"/>
              <w:bottom w:val="nil"/>
            </w:tcBorders>
            <w:shd w:val="clear" w:color="auto" w:fill="FFFFFF"/>
            <w:vAlign w:val="center"/>
          </w:tcPr>
          <w:p w14:paraId="17C0F27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nil"/>
              <w:bottom w:val="nil"/>
            </w:tcBorders>
            <w:shd w:val="clear" w:color="auto" w:fill="FFFFFF"/>
            <w:vAlign w:val="center"/>
          </w:tcPr>
          <w:p w14:paraId="6021F6A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720" w:type="dxa"/>
            <w:tcBorders>
              <w:top w:val="nil"/>
              <w:bottom w:val="nil"/>
            </w:tcBorders>
            <w:shd w:val="clear" w:color="auto" w:fill="FFFFFF"/>
            <w:vAlign w:val="center"/>
          </w:tcPr>
          <w:p w14:paraId="1201708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tcBorders>
            <w:shd w:val="clear" w:color="auto" w:fill="FFFFFF"/>
            <w:vAlign w:val="center"/>
          </w:tcPr>
          <w:p w14:paraId="5C458AC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22</w:t>
            </w:r>
          </w:p>
        </w:tc>
        <w:tc>
          <w:tcPr>
            <w:tcW w:w="900" w:type="dxa"/>
            <w:tcBorders>
              <w:top w:val="nil"/>
              <w:bottom w:val="nil"/>
            </w:tcBorders>
            <w:shd w:val="clear" w:color="auto" w:fill="FFFFFF"/>
            <w:vAlign w:val="center"/>
          </w:tcPr>
          <w:p w14:paraId="72EA01E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10" w:type="dxa"/>
            <w:tcBorders>
              <w:top w:val="nil"/>
              <w:bottom w:val="nil"/>
            </w:tcBorders>
            <w:shd w:val="clear" w:color="auto" w:fill="FFFFFF"/>
            <w:vAlign w:val="center"/>
          </w:tcPr>
          <w:p w14:paraId="165806A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00" w:type="dxa"/>
            <w:tcBorders>
              <w:top w:val="nil"/>
              <w:bottom w:val="nil"/>
              <w:right w:val="single" w:sz="16" w:space="0" w:color="000000"/>
            </w:tcBorders>
            <w:shd w:val="clear" w:color="auto" w:fill="FFFFFF"/>
            <w:vAlign w:val="center"/>
          </w:tcPr>
          <w:p w14:paraId="4A04521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121</w:t>
            </w:r>
          </w:p>
        </w:tc>
      </w:tr>
      <w:tr w:rsidR="00D426D1" w:rsidRPr="00BD6690" w14:paraId="6E982619" w14:textId="77777777"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14:paraId="5AD10452"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2151" w:type="dxa"/>
            <w:gridSpan w:val="2"/>
            <w:tcBorders>
              <w:top w:val="nil"/>
              <w:left w:val="nil"/>
              <w:bottom w:val="single" w:sz="16" w:space="0" w:color="000000"/>
              <w:right w:val="nil"/>
            </w:tcBorders>
            <w:shd w:val="clear" w:color="auto" w:fill="FFFFFF"/>
            <w:vAlign w:val="center"/>
          </w:tcPr>
          <w:p w14:paraId="1F9FAB09"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0" distB="0" distL="114300" distR="114300" simplePos="0" relativeHeight="251649536" behindDoc="0" locked="0" layoutInCell="1" allowOverlap="1" wp14:anchorId="6CC03968" wp14:editId="25672F43">
                      <wp:simplePos x="0" y="0"/>
                      <wp:positionH relativeFrom="column">
                        <wp:posOffset>635</wp:posOffset>
                      </wp:positionH>
                      <wp:positionV relativeFrom="paragraph">
                        <wp:posOffset>-28575</wp:posOffset>
                      </wp:positionV>
                      <wp:extent cx="6518275" cy="28575"/>
                      <wp:effectExtent l="0" t="0" r="0" b="9525"/>
                      <wp:wrapNone/>
                      <wp:docPr id="1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5182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298D78" id="AutoShape 6" o:spid="_x0000_s1026" type="#_x0000_t32" style="position:absolute;margin-left:.05pt;margin-top:-2.25pt;width:513.25pt;height:2.25pt;flip:x 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">
                      <o:lock v:ext="edit" shapetype="f"/>
                    </v:shape>
                  </w:pict>
                </mc:Fallback>
              </mc:AlternateContent>
            </w:r>
            <w:r w:rsidR="00D426D1" w:rsidRPr="00BD6690">
              <w:rPr>
                <w:rFonts w:ascii="Arial" w:hAnsi="Arial" w:cs="Arial"/>
                <w:b/>
                <w:color w:val="000000"/>
                <w:sz w:val="18"/>
                <w:szCs w:val="18"/>
              </w:rPr>
              <w:t>Total</w:t>
            </w:r>
          </w:p>
        </w:tc>
        <w:tc>
          <w:tcPr>
            <w:tcW w:w="810" w:type="dxa"/>
            <w:tcBorders>
              <w:top w:val="nil"/>
              <w:left w:val="single" w:sz="16" w:space="0" w:color="000000"/>
              <w:bottom w:val="single" w:sz="16" w:space="0" w:color="000000"/>
            </w:tcBorders>
            <w:shd w:val="clear" w:color="auto" w:fill="FFFFFF"/>
            <w:vAlign w:val="center"/>
          </w:tcPr>
          <w:p w14:paraId="4B714BA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53</w:t>
            </w:r>
          </w:p>
        </w:tc>
        <w:tc>
          <w:tcPr>
            <w:tcW w:w="630" w:type="dxa"/>
            <w:tcBorders>
              <w:top w:val="nil"/>
              <w:bottom w:val="single" w:sz="16" w:space="0" w:color="000000"/>
            </w:tcBorders>
            <w:shd w:val="clear" w:color="auto" w:fill="FFFFFF"/>
            <w:vAlign w:val="center"/>
          </w:tcPr>
          <w:p w14:paraId="547098F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21</w:t>
            </w:r>
          </w:p>
        </w:tc>
        <w:tc>
          <w:tcPr>
            <w:tcW w:w="810" w:type="dxa"/>
            <w:tcBorders>
              <w:top w:val="nil"/>
              <w:bottom w:val="single" w:sz="16" w:space="0" w:color="000000"/>
            </w:tcBorders>
            <w:shd w:val="clear" w:color="auto" w:fill="FFFFFF"/>
            <w:vAlign w:val="center"/>
          </w:tcPr>
          <w:p w14:paraId="7EA91E4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46</w:t>
            </w:r>
          </w:p>
        </w:tc>
        <w:tc>
          <w:tcPr>
            <w:tcW w:w="900" w:type="dxa"/>
            <w:tcBorders>
              <w:top w:val="nil"/>
              <w:bottom w:val="single" w:sz="16" w:space="0" w:color="000000"/>
            </w:tcBorders>
            <w:shd w:val="clear" w:color="auto" w:fill="FFFFFF"/>
            <w:vAlign w:val="center"/>
          </w:tcPr>
          <w:p w14:paraId="38FAC4B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w:t>
            </w:r>
          </w:p>
        </w:tc>
        <w:tc>
          <w:tcPr>
            <w:tcW w:w="810" w:type="dxa"/>
            <w:tcBorders>
              <w:top w:val="nil"/>
              <w:bottom w:val="single" w:sz="16" w:space="0" w:color="000000"/>
            </w:tcBorders>
            <w:shd w:val="clear" w:color="auto" w:fill="FFFFFF"/>
            <w:vAlign w:val="center"/>
          </w:tcPr>
          <w:p w14:paraId="075941F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720" w:type="dxa"/>
            <w:tcBorders>
              <w:top w:val="nil"/>
              <w:bottom w:val="single" w:sz="16" w:space="0" w:color="000000"/>
            </w:tcBorders>
            <w:shd w:val="clear" w:color="auto" w:fill="FFFFFF"/>
            <w:vAlign w:val="center"/>
          </w:tcPr>
          <w:p w14:paraId="0644CEB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810" w:type="dxa"/>
            <w:tcBorders>
              <w:top w:val="nil"/>
              <w:bottom w:val="single" w:sz="16" w:space="0" w:color="000000"/>
            </w:tcBorders>
            <w:shd w:val="clear" w:color="auto" w:fill="FFFFFF"/>
            <w:vAlign w:val="center"/>
          </w:tcPr>
          <w:p w14:paraId="18BB137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w:t>
            </w:r>
          </w:p>
        </w:tc>
        <w:tc>
          <w:tcPr>
            <w:tcW w:w="900" w:type="dxa"/>
            <w:tcBorders>
              <w:top w:val="nil"/>
              <w:bottom w:val="single" w:sz="16" w:space="0" w:color="000000"/>
            </w:tcBorders>
            <w:shd w:val="clear" w:color="auto" w:fill="FFFFFF"/>
            <w:vAlign w:val="center"/>
          </w:tcPr>
          <w:p w14:paraId="5BE716B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910" w:type="dxa"/>
            <w:tcBorders>
              <w:top w:val="nil"/>
              <w:bottom w:val="single" w:sz="16" w:space="0" w:color="000000"/>
            </w:tcBorders>
            <w:shd w:val="clear" w:color="auto" w:fill="FFFFFF"/>
            <w:vAlign w:val="center"/>
          </w:tcPr>
          <w:p w14:paraId="4B5F842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w:t>
            </w:r>
          </w:p>
        </w:tc>
        <w:tc>
          <w:tcPr>
            <w:tcW w:w="900" w:type="dxa"/>
            <w:tcBorders>
              <w:top w:val="nil"/>
              <w:bottom w:val="single" w:sz="16" w:space="0" w:color="000000"/>
              <w:right w:val="single" w:sz="16" w:space="0" w:color="000000"/>
            </w:tcBorders>
            <w:shd w:val="clear" w:color="auto" w:fill="FFFFFF"/>
            <w:vAlign w:val="center"/>
          </w:tcPr>
          <w:p w14:paraId="2A5DE14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238</w:t>
            </w:r>
          </w:p>
        </w:tc>
      </w:tr>
    </w:tbl>
    <w:p w14:paraId="5DFA8DF5"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F12843">
        <w:rPr>
          <w:rFonts w:ascii="Times New Roman" w:hAnsi="Times New Roman"/>
          <w:sz w:val="24"/>
          <w:szCs w:val="24"/>
        </w:rPr>
        <w:t xml:space="preserve">A total of 238 (91.5%) respondents selected one out of the 9 provided colors as their </w:t>
      </w:r>
      <w:r w:rsidR="003568F2">
        <w:rPr>
          <w:rFonts w:ascii="Times New Roman" w:hAnsi="Times New Roman"/>
          <w:sz w:val="24"/>
          <w:szCs w:val="24"/>
        </w:rPr>
        <w:t>favorite</w:t>
      </w:r>
      <w:r w:rsidRPr="00F12843">
        <w:rPr>
          <w:rFonts w:ascii="Times New Roman" w:hAnsi="Times New Roman"/>
          <w:sz w:val="24"/>
          <w:szCs w:val="24"/>
        </w:rPr>
        <w:t xml:space="preserve"> </w:t>
      </w:r>
      <w:r>
        <w:rPr>
          <w:rFonts w:ascii="Times New Roman" w:hAnsi="Times New Roman"/>
          <w:sz w:val="24"/>
          <w:szCs w:val="24"/>
        </w:rPr>
        <w:t>color</w:t>
      </w:r>
      <w:r w:rsidRPr="00F12843">
        <w:rPr>
          <w:rFonts w:ascii="Times New Roman" w:hAnsi="Times New Roman"/>
          <w:sz w:val="24"/>
          <w:szCs w:val="24"/>
        </w:rPr>
        <w:t xml:space="preserve">, 22 (8.5%) selected either the ‘other’ option or failed to respond. Most of those who selected the ‘other’ option were females and 16 of the 22 who selected ‘other’ chose </w:t>
      </w:r>
      <w:r>
        <w:rPr>
          <w:rFonts w:ascii="Times New Roman" w:hAnsi="Times New Roman"/>
          <w:sz w:val="24"/>
          <w:szCs w:val="24"/>
        </w:rPr>
        <w:t>color</w:t>
      </w:r>
      <w:r w:rsidRPr="00F12843">
        <w:rPr>
          <w:rFonts w:ascii="Times New Roman" w:hAnsi="Times New Roman"/>
          <w:sz w:val="24"/>
          <w:szCs w:val="24"/>
        </w:rPr>
        <w:t xml:space="preserve"> Pink.</w:t>
      </w:r>
      <w:r w:rsidRPr="00F12843">
        <w:rPr>
          <w:rFonts w:ascii="Times New Roman" w:hAnsi="Times New Roman"/>
          <w:b/>
          <w:sz w:val="24"/>
          <w:szCs w:val="24"/>
        </w:rPr>
        <w:t xml:space="preserve"> </w:t>
      </w:r>
      <w:r w:rsidRPr="00F12843">
        <w:rPr>
          <w:rFonts w:ascii="Times New Roman" w:hAnsi="Times New Roman"/>
          <w:sz w:val="24"/>
          <w:szCs w:val="24"/>
        </w:rPr>
        <w:t>The</w:t>
      </w:r>
      <w:r>
        <w:rPr>
          <w:rFonts w:ascii="Times New Roman" w:hAnsi="Times New Roman"/>
          <w:sz w:val="24"/>
          <w:szCs w:val="24"/>
        </w:rPr>
        <w:t xml:space="preserve"> other</w:t>
      </w:r>
      <w:r w:rsidRPr="00F12843">
        <w:rPr>
          <w:rFonts w:ascii="Times New Roman" w:hAnsi="Times New Roman"/>
          <w:sz w:val="24"/>
          <w:szCs w:val="24"/>
        </w:rPr>
        <w:t xml:space="preserve"> two listed colors were Peach and Gold, each selected by two respondents. </w:t>
      </w:r>
    </w:p>
    <w:p w14:paraId="7024DA06" w14:textId="5A70FFCF"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F12843">
        <w:rPr>
          <w:rFonts w:ascii="Times New Roman" w:hAnsi="Times New Roman"/>
          <w:sz w:val="24"/>
          <w:szCs w:val="24"/>
        </w:rPr>
        <w:t>In sum</w:t>
      </w:r>
      <w:r w:rsidR="003639D2">
        <w:rPr>
          <w:rFonts w:ascii="Times New Roman" w:hAnsi="Times New Roman"/>
          <w:sz w:val="24"/>
          <w:szCs w:val="24"/>
        </w:rPr>
        <w:t>mary</w:t>
      </w:r>
      <w:r w:rsidRPr="00F12843">
        <w:rPr>
          <w:rFonts w:ascii="Times New Roman" w:hAnsi="Times New Roman"/>
          <w:sz w:val="24"/>
          <w:szCs w:val="24"/>
        </w:rPr>
        <w:t xml:space="preserve">, </w:t>
      </w:r>
      <w:r w:rsidR="003639D2">
        <w:rPr>
          <w:rFonts w:ascii="Times New Roman" w:hAnsi="Times New Roman"/>
          <w:sz w:val="24"/>
          <w:szCs w:val="24"/>
        </w:rPr>
        <w:t>o</w:t>
      </w:r>
      <w:r w:rsidRPr="00F12843">
        <w:rPr>
          <w:rFonts w:ascii="Times New Roman" w:hAnsi="Times New Roman"/>
          <w:sz w:val="24"/>
          <w:szCs w:val="24"/>
        </w:rPr>
        <w:t xml:space="preserve">ut of the 128(100%) colors selected by males, white was the most selected with 31(24.2%) respondents. </w:t>
      </w:r>
      <w:r w:rsidR="00BF7F80">
        <w:rPr>
          <w:rFonts w:ascii="Times New Roman" w:hAnsi="Times New Roman"/>
          <w:sz w:val="24"/>
          <w:szCs w:val="24"/>
        </w:rPr>
        <w:t>B</w:t>
      </w:r>
      <w:r w:rsidRPr="00F12843">
        <w:rPr>
          <w:rFonts w:ascii="Times New Roman" w:hAnsi="Times New Roman"/>
          <w:sz w:val="24"/>
          <w:szCs w:val="24"/>
        </w:rPr>
        <w:t>lack- 30</w:t>
      </w:r>
      <w:r>
        <w:rPr>
          <w:rFonts w:ascii="Times New Roman" w:hAnsi="Times New Roman"/>
          <w:sz w:val="24"/>
          <w:szCs w:val="24"/>
        </w:rPr>
        <w:t xml:space="preserve"> </w:t>
      </w:r>
      <w:r w:rsidRPr="00F12843">
        <w:rPr>
          <w:rFonts w:ascii="Times New Roman" w:hAnsi="Times New Roman"/>
          <w:sz w:val="24"/>
          <w:szCs w:val="24"/>
        </w:rPr>
        <w:t xml:space="preserve">(23.4%), </w:t>
      </w:r>
      <w:r w:rsidR="003639D2">
        <w:rPr>
          <w:rFonts w:ascii="Times New Roman" w:hAnsi="Times New Roman"/>
          <w:sz w:val="24"/>
          <w:szCs w:val="24"/>
        </w:rPr>
        <w:t>b</w:t>
      </w:r>
      <w:r w:rsidRPr="00F12843">
        <w:rPr>
          <w:rFonts w:ascii="Times New Roman" w:hAnsi="Times New Roman"/>
          <w:sz w:val="24"/>
          <w:szCs w:val="24"/>
        </w:rPr>
        <w:t xml:space="preserve">lue-25(19.5%) and </w:t>
      </w:r>
      <w:r w:rsidR="003639D2">
        <w:rPr>
          <w:rFonts w:ascii="Times New Roman" w:hAnsi="Times New Roman"/>
          <w:sz w:val="24"/>
          <w:szCs w:val="24"/>
        </w:rPr>
        <w:t>r</w:t>
      </w:r>
      <w:r w:rsidRPr="00F12843">
        <w:rPr>
          <w:rFonts w:ascii="Times New Roman" w:hAnsi="Times New Roman"/>
          <w:sz w:val="24"/>
          <w:szCs w:val="24"/>
        </w:rPr>
        <w:t xml:space="preserve">ed-14(10.9%) were also frequently identified as </w:t>
      </w:r>
      <w:r w:rsidR="003568F2">
        <w:rPr>
          <w:rFonts w:ascii="Times New Roman" w:hAnsi="Times New Roman"/>
          <w:sz w:val="24"/>
          <w:szCs w:val="24"/>
        </w:rPr>
        <w:t>favorite</w:t>
      </w:r>
      <w:r w:rsidRPr="00F12843">
        <w:rPr>
          <w:rFonts w:ascii="Times New Roman" w:hAnsi="Times New Roman"/>
          <w:sz w:val="24"/>
          <w:szCs w:val="24"/>
        </w:rPr>
        <w:t xml:space="preserve"> colors. Orange-6(4.7%), </w:t>
      </w:r>
      <w:r w:rsidR="003639D2">
        <w:rPr>
          <w:rFonts w:ascii="Times New Roman" w:hAnsi="Times New Roman"/>
          <w:sz w:val="24"/>
          <w:szCs w:val="24"/>
        </w:rPr>
        <w:t>y</w:t>
      </w:r>
      <w:r w:rsidRPr="00F12843">
        <w:rPr>
          <w:rFonts w:ascii="Times New Roman" w:hAnsi="Times New Roman"/>
          <w:sz w:val="24"/>
          <w:szCs w:val="24"/>
        </w:rPr>
        <w:t>ellow-2</w:t>
      </w:r>
      <w:r>
        <w:rPr>
          <w:rFonts w:ascii="Times New Roman" w:hAnsi="Times New Roman"/>
          <w:sz w:val="24"/>
          <w:szCs w:val="24"/>
        </w:rPr>
        <w:t xml:space="preserve"> </w:t>
      </w:r>
      <w:r w:rsidRPr="00F12843">
        <w:rPr>
          <w:rFonts w:ascii="Times New Roman" w:hAnsi="Times New Roman"/>
          <w:sz w:val="24"/>
          <w:szCs w:val="24"/>
        </w:rPr>
        <w:t xml:space="preserve">(1.6%), and </w:t>
      </w:r>
      <w:r w:rsidR="003639D2">
        <w:rPr>
          <w:rFonts w:ascii="Times New Roman" w:hAnsi="Times New Roman"/>
          <w:sz w:val="24"/>
          <w:szCs w:val="24"/>
        </w:rPr>
        <w:t>p</w:t>
      </w:r>
      <w:r w:rsidRPr="00F12843">
        <w:rPr>
          <w:rFonts w:ascii="Times New Roman" w:hAnsi="Times New Roman"/>
          <w:sz w:val="24"/>
          <w:szCs w:val="24"/>
        </w:rPr>
        <w:t>urple-2</w:t>
      </w:r>
      <w:r>
        <w:rPr>
          <w:rFonts w:ascii="Times New Roman" w:hAnsi="Times New Roman"/>
          <w:sz w:val="24"/>
          <w:szCs w:val="24"/>
        </w:rPr>
        <w:t xml:space="preserve"> </w:t>
      </w:r>
      <w:r w:rsidRPr="00F12843">
        <w:rPr>
          <w:rFonts w:ascii="Times New Roman" w:hAnsi="Times New Roman"/>
          <w:sz w:val="24"/>
          <w:szCs w:val="24"/>
        </w:rPr>
        <w:t xml:space="preserve">(1.6%) were the least identified </w:t>
      </w:r>
      <w:r w:rsidR="003568F2">
        <w:rPr>
          <w:rFonts w:ascii="Times New Roman" w:hAnsi="Times New Roman"/>
          <w:sz w:val="24"/>
          <w:szCs w:val="24"/>
        </w:rPr>
        <w:t>favorite</w:t>
      </w:r>
      <w:r w:rsidRPr="00F12843">
        <w:rPr>
          <w:rFonts w:ascii="Times New Roman" w:hAnsi="Times New Roman"/>
          <w:sz w:val="24"/>
          <w:szCs w:val="24"/>
        </w:rPr>
        <w:t xml:space="preserve">s. In the female category a total of 126 selected a </w:t>
      </w:r>
      <w:r>
        <w:rPr>
          <w:rFonts w:ascii="Times New Roman" w:hAnsi="Times New Roman"/>
          <w:sz w:val="24"/>
          <w:szCs w:val="24"/>
        </w:rPr>
        <w:t>color</w:t>
      </w:r>
      <w:r w:rsidRPr="00F12843">
        <w:rPr>
          <w:rFonts w:ascii="Times New Roman" w:hAnsi="Times New Roman"/>
          <w:sz w:val="24"/>
          <w:szCs w:val="24"/>
        </w:rPr>
        <w:t xml:space="preserve"> out of the provided options or wrote another in the ‘other’ category. Out of the 110(100%) that chose one of the provided colors, 23</w:t>
      </w:r>
      <w:r>
        <w:rPr>
          <w:rFonts w:ascii="Times New Roman" w:hAnsi="Times New Roman"/>
          <w:sz w:val="24"/>
          <w:szCs w:val="24"/>
        </w:rPr>
        <w:t xml:space="preserve"> </w:t>
      </w:r>
      <w:r w:rsidRPr="00F12843">
        <w:rPr>
          <w:rFonts w:ascii="Times New Roman" w:hAnsi="Times New Roman"/>
          <w:sz w:val="24"/>
          <w:szCs w:val="24"/>
        </w:rPr>
        <w:t>(20.9%), 22</w:t>
      </w:r>
      <w:r>
        <w:rPr>
          <w:rFonts w:ascii="Times New Roman" w:hAnsi="Times New Roman"/>
          <w:sz w:val="24"/>
          <w:szCs w:val="24"/>
        </w:rPr>
        <w:t xml:space="preserve"> </w:t>
      </w:r>
      <w:r w:rsidRPr="00F12843">
        <w:rPr>
          <w:rFonts w:ascii="Times New Roman" w:hAnsi="Times New Roman"/>
          <w:sz w:val="24"/>
          <w:szCs w:val="24"/>
        </w:rPr>
        <w:t xml:space="preserve">(20.0%), 11(10%), and 11(10%) selected </w:t>
      </w:r>
      <w:r w:rsidR="003639D2">
        <w:rPr>
          <w:rFonts w:ascii="Times New Roman" w:hAnsi="Times New Roman"/>
          <w:sz w:val="24"/>
          <w:szCs w:val="24"/>
        </w:rPr>
        <w:t>b</w:t>
      </w:r>
      <w:r w:rsidRPr="00F12843">
        <w:rPr>
          <w:rFonts w:ascii="Times New Roman" w:hAnsi="Times New Roman"/>
          <w:sz w:val="24"/>
          <w:szCs w:val="24"/>
        </w:rPr>
        <w:t xml:space="preserve">lue, </w:t>
      </w:r>
      <w:r w:rsidR="003639D2">
        <w:rPr>
          <w:rFonts w:ascii="Times New Roman" w:hAnsi="Times New Roman"/>
          <w:sz w:val="24"/>
          <w:szCs w:val="24"/>
        </w:rPr>
        <w:t>g</w:t>
      </w:r>
      <w:r w:rsidRPr="00F12843">
        <w:rPr>
          <w:rFonts w:ascii="Times New Roman" w:hAnsi="Times New Roman"/>
          <w:sz w:val="24"/>
          <w:szCs w:val="24"/>
        </w:rPr>
        <w:t xml:space="preserve">rey and </w:t>
      </w:r>
      <w:r w:rsidR="003639D2">
        <w:rPr>
          <w:rFonts w:ascii="Times New Roman" w:hAnsi="Times New Roman"/>
          <w:sz w:val="24"/>
          <w:szCs w:val="24"/>
        </w:rPr>
        <w:t>r</w:t>
      </w:r>
      <w:r w:rsidRPr="00F12843">
        <w:rPr>
          <w:rFonts w:ascii="Times New Roman" w:hAnsi="Times New Roman"/>
          <w:sz w:val="24"/>
          <w:szCs w:val="24"/>
        </w:rPr>
        <w:t xml:space="preserve">ed respectively. Pink was selected 16 times (12.6% of the 126 who selected a </w:t>
      </w:r>
      <w:r w:rsidR="003568F2">
        <w:rPr>
          <w:rFonts w:ascii="Times New Roman" w:hAnsi="Times New Roman"/>
          <w:sz w:val="24"/>
          <w:szCs w:val="24"/>
        </w:rPr>
        <w:t>favorite</w:t>
      </w:r>
      <w:r w:rsidRPr="00F12843">
        <w:rPr>
          <w:rFonts w:ascii="Times New Roman" w:hAnsi="Times New Roman"/>
          <w:sz w:val="24"/>
          <w:szCs w:val="24"/>
        </w:rPr>
        <w:t xml:space="preserve"> </w:t>
      </w:r>
      <w:r>
        <w:rPr>
          <w:rFonts w:ascii="Times New Roman" w:hAnsi="Times New Roman"/>
          <w:sz w:val="24"/>
          <w:szCs w:val="24"/>
        </w:rPr>
        <w:t>color</w:t>
      </w:r>
      <w:r w:rsidRPr="00F12843">
        <w:rPr>
          <w:rFonts w:ascii="Times New Roman" w:hAnsi="Times New Roman"/>
          <w:sz w:val="24"/>
          <w:szCs w:val="24"/>
        </w:rPr>
        <w:t>). The least selected colors were yellow and orange: 6(5.5%) and 4(3.6%) respectively.</w:t>
      </w:r>
      <w:r>
        <w:rPr>
          <w:rFonts w:ascii="Times New Roman" w:hAnsi="Times New Roman"/>
          <w:sz w:val="24"/>
          <w:szCs w:val="24"/>
        </w:rPr>
        <w:t xml:space="preserve"> The colors were then divided into two categories:</w:t>
      </w:r>
    </w:p>
    <w:p w14:paraId="50CD1935" w14:textId="77777777" w:rsidR="00D426D1" w:rsidRPr="00A12925" w:rsidRDefault="00D426D1" w:rsidP="00196624">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sz w:val="24"/>
          <w:szCs w:val="24"/>
        </w:rPr>
      </w:pPr>
      <w:r w:rsidRPr="00A12925">
        <w:rPr>
          <w:rFonts w:ascii="Times New Roman" w:hAnsi="Times New Roman"/>
          <w:b/>
          <w:sz w:val="24"/>
          <w:szCs w:val="24"/>
        </w:rPr>
        <w:t>Bright</w:t>
      </w:r>
      <w:r w:rsidRPr="00A12925">
        <w:rPr>
          <w:rFonts w:ascii="Times New Roman" w:hAnsi="Times New Roman"/>
          <w:i/>
          <w:sz w:val="24"/>
          <w:szCs w:val="24"/>
        </w:rPr>
        <w:t>:</w:t>
      </w:r>
      <w:r w:rsidRPr="00A12925">
        <w:rPr>
          <w:rFonts w:ascii="Times New Roman" w:hAnsi="Times New Roman"/>
          <w:sz w:val="24"/>
          <w:szCs w:val="24"/>
        </w:rPr>
        <w:t xml:space="preserve"> White, Red, Orange, Yellow, Purple, Peach, Gold and Pink.</w:t>
      </w:r>
    </w:p>
    <w:p w14:paraId="674CD800" w14:textId="77777777" w:rsidR="00D426D1" w:rsidRDefault="00D426D1" w:rsidP="00196624">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sz w:val="24"/>
          <w:szCs w:val="24"/>
        </w:rPr>
      </w:pPr>
      <w:r w:rsidRPr="003F2F54">
        <w:rPr>
          <w:rFonts w:ascii="Times New Roman" w:hAnsi="Times New Roman"/>
          <w:sz w:val="24"/>
          <w:szCs w:val="24"/>
        </w:rPr>
        <w:t xml:space="preserve"> </w:t>
      </w:r>
      <w:r w:rsidRPr="003F2F54">
        <w:rPr>
          <w:rFonts w:ascii="Times New Roman" w:hAnsi="Times New Roman"/>
          <w:b/>
          <w:sz w:val="24"/>
          <w:szCs w:val="24"/>
        </w:rPr>
        <w:t xml:space="preserve">Dull: </w:t>
      </w:r>
      <w:r w:rsidRPr="003F2F54">
        <w:rPr>
          <w:rFonts w:ascii="Times New Roman" w:hAnsi="Times New Roman"/>
          <w:sz w:val="24"/>
          <w:szCs w:val="24"/>
        </w:rPr>
        <w:t>Grey, Black, Blue</w:t>
      </w:r>
      <w:r>
        <w:rPr>
          <w:rFonts w:ascii="Times New Roman" w:hAnsi="Times New Roman"/>
          <w:sz w:val="24"/>
          <w:szCs w:val="24"/>
        </w:rPr>
        <w:t>, and Green.</w:t>
      </w:r>
    </w:p>
    <w:p w14:paraId="0A07585D"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the male category; out of 128 (100%) respondents, 55</w:t>
      </w:r>
      <w:r w:rsidR="001F0E9D">
        <w:rPr>
          <w:rFonts w:ascii="Times New Roman" w:hAnsi="Times New Roman"/>
          <w:sz w:val="24"/>
          <w:szCs w:val="24"/>
        </w:rPr>
        <w:t xml:space="preserve"> </w:t>
      </w:r>
      <w:r>
        <w:rPr>
          <w:rFonts w:ascii="Times New Roman" w:hAnsi="Times New Roman"/>
          <w:sz w:val="24"/>
          <w:szCs w:val="24"/>
        </w:rPr>
        <w:t>(43%) selected a bright color while 73</w:t>
      </w:r>
      <w:r w:rsidR="001F0E9D">
        <w:rPr>
          <w:rFonts w:ascii="Times New Roman" w:hAnsi="Times New Roman"/>
          <w:sz w:val="24"/>
          <w:szCs w:val="24"/>
        </w:rPr>
        <w:t xml:space="preserve"> </w:t>
      </w:r>
      <w:r>
        <w:rPr>
          <w:rFonts w:ascii="Times New Roman" w:hAnsi="Times New Roman"/>
          <w:sz w:val="24"/>
          <w:szCs w:val="24"/>
        </w:rPr>
        <w:t>(57%) selected a dull color. Amidst females however, out of the 130(100%) overall respondents (those who selected out of 9 provided colors or wrote in the ‘other’ category), 73 (56%) chose bright colors while 57 (44%) selected dull colors. From the forgoing, even though the gap is not overwhelming, it can be concluded that females had more preference for bright colors than males.</w:t>
      </w:r>
    </w:p>
    <w:p w14:paraId="56D58B86"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Analysis was then done in terms of nationality. In Nigeria, 30 (46%) of 64 male respondents selected bright colors while 34 (54%) chose dull colors. Amidst the females; out of the 65 respondents, 39 (60%) chose bright colors while 26(40%) preferred a dull one. This shows that in the Nigerian context, females have more preference for bright colors and males, for dull ones. In </w:t>
      </w:r>
      <w:r>
        <w:rPr>
          <w:rFonts w:ascii="Times New Roman" w:hAnsi="Times New Roman"/>
          <w:sz w:val="24"/>
          <w:szCs w:val="24"/>
        </w:rPr>
        <w:lastRenderedPageBreak/>
        <w:t>China however, 25 (39%) of 64 male respondents selected bright colors while 39</w:t>
      </w:r>
      <w:r w:rsidR="001F0E9D">
        <w:rPr>
          <w:rFonts w:ascii="Times New Roman" w:hAnsi="Times New Roman"/>
          <w:sz w:val="24"/>
          <w:szCs w:val="24"/>
        </w:rPr>
        <w:t xml:space="preserve"> </w:t>
      </w:r>
      <w:r>
        <w:rPr>
          <w:rFonts w:ascii="Times New Roman" w:hAnsi="Times New Roman"/>
          <w:sz w:val="24"/>
          <w:szCs w:val="24"/>
        </w:rPr>
        <w:t>(61%) chose dull colors. Amidst the females; out of the 65 respondents, 34</w:t>
      </w:r>
      <w:r w:rsidR="001F0E9D">
        <w:rPr>
          <w:rFonts w:ascii="Times New Roman" w:hAnsi="Times New Roman"/>
          <w:sz w:val="24"/>
          <w:szCs w:val="24"/>
        </w:rPr>
        <w:t xml:space="preserve"> </w:t>
      </w:r>
      <w:r>
        <w:rPr>
          <w:rFonts w:ascii="Times New Roman" w:hAnsi="Times New Roman"/>
          <w:sz w:val="24"/>
          <w:szCs w:val="24"/>
        </w:rPr>
        <w:t>(52%) chose bright colors while 31</w:t>
      </w:r>
      <w:r w:rsidR="001F0E9D">
        <w:rPr>
          <w:rFonts w:ascii="Times New Roman" w:hAnsi="Times New Roman"/>
          <w:sz w:val="24"/>
          <w:szCs w:val="24"/>
        </w:rPr>
        <w:t xml:space="preserve"> </w:t>
      </w:r>
      <w:r>
        <w:rPr>
          <w:rFonts w:ascii="Times New Roman" w:hAnsi="Times New Roman"/>
          <w:sz w:val="24"/>
          <w:szCs w:val="24"/>
        </w:rPr>
        <w:t>(48%) preferred a dull one. By implication, Chinese males preferred dull colors to bright ones, but Chinese females do not show such clear preference. Even though there is relative preference for bright colors at 52% to 48% for bright and dull colors respectively, Chinese females make it too close to call.</w:t>
      </w:r>
    </w:p>
    <w:p w14:paraId="5956862B" w14:textId="77777777" w:rsidR="00D426D1" w:rsidRPr="00DD1646" w:rsidRDefault="00D426D1" w:rsidP="001F0E9D">
      <w:pPr>
        <w:pStyle w:val="ListParagraph"/>
        <w:autoSpaceDE w:val="0"/>
        <w:autoSpaceDN w:val="0"/>
        <w:adjustRightInd w:val="0"/>
        <w:spacing w:beforeLines="50" w:before="120" w:afterLines="50" w:after="120" w:line="240" w:lineRule="auto"/>
        <w:ind w:left="0" w:firstLine="720"/>
        <w:jc w:val="both"/>
        <w:rPr>
          <w:rFonts w:ascii="Times New Roman" w:hAnsi="Times New Roman"/>
          <w:i/>
          <w:sz w:val="24"/>
          <w:szCs w:val="24"/>
        </w:rPr>
      </w:pPr>
      <w:r w:rsidRPr="00DD1646">
        <w:rPr>
          <w:rFonts w:ascii="Times New Roman" w:hAnsi="Times New Roman"/>
          <w:i/>
          <w:sz w:val="24"/>
          <w:szCs w:val="24"/>
        </w:rPr>
        <w:t>Language Attitude</w:t>
      </w:r>
    </w:p>
    <w:p w14:paraId="67660E70" w14:textId="0B193DCE" w:rsidR="00D426D1" w:rsidRDefault="001F0E9D"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Before surveys were designed, the researcher had personal consultations with respondents and non-respondents who were natives of the respective cultures about their thoughts on the signification of colors in their respective cultures. </w:t>
      </w:r>
      <w:r w:rsidR="00083C31">
        <w:rPr>
          <w:rFonts w:ascii="Times New Roman" w:hAnsi="Times New Roman"/>
          <w:sz w:val="24"/>
          <w:szCs w:val="24"/>
        </w:rPr>
        <w:t xml:space="preserve">The consultations were not in research or official conditions, but casual situations to ensure the viability of responses. </w:t>
      </w:r>
      <w:r>
        <w:rPr>
          <w:rFonts w:ascii="Times New Roman" w:hAnsi="Times New Roman"/>
          <w:sz w:val="24"/>
          <w:szCs w:val="24"/>
        </w:rPr>
        <w:t xml:space="preserve">These consultations influenced the design of the survey which also included questions regarding their knowledge of the signification of various colors in their respective cultures to double check the previous consultations. Assertions </w:t>
      </w:r>
      <w:r w:rsidR="00083C31">
        <w:rPr>
          <w:rFonts w:ascii="Times New Roman" w:hAnsi="Times New Roman"/>
          <w:sz w:val="24"/>
          <w:szCs w:val="24"/>
        </w:rPr>
        <w:t xml:space="preserve">about the signification of </w:t>
      </w:r>
      <w:r>
        <w:rPr>
          <w:rFonts w:ascii="Times New Roman" w:hAnsi="Times New Roman"/>
          <w:sz w:val="24"/>
          <w:szCs w:val="24"/>
        </w:rPr>
        <w:t>colors</w:t>
      </w:r>
      <w:r w:rsidR="00083C31">
        <w:rPr>
          <w:rFonts w:ascii="Times New Roman" w:hAnsi="Times New Roman"/>
          <w:sz w:val="24"/>
          <w:szCs w:val="24"/>
        </w:rPr>
        <w:t xml:space="preserve"> in the two selected societies</w:t>
      </w:r>
      <w:r>
        <w:rPr>
          <w:rFonts w:ascii="Times New Roman" w:hAnsi="Times New Roman"/>
          <w:sz w:val="24"/>
          <w:szCs w:val="24"/>
        </w:rPr>
        <w:t xml:space="preserve"> are t</w:t>
      </w:r>
      <w:r w:rsidR="00083C31">
        <w:rPr>
          <w:rFonts w:ascii="Times New Roman" w:hAnsi="Times New Roman"/>
          <w:sz w:val="24"/>
          <w:szCs w:val="24"/>
        </w:rPr>
        <w:t xml:space="preserve">herefore based on overwhelming responses to empirical enquiries and consultation of a wide spectrum of individuals from the respective cultures of the selected respondents. </w:t>
      </w:r>
      <w:r w:rsidR="00D426D1">
        <w:rPr>
          <w:rFonts w:ascii="Times New Roman" w:hAnsi="Times New Roman"/>
          <w:sz w:val="24"/>
          <w:szCs w:val="24"/>
        </w:rPr>
        <w:t xml:space="preserve">The selected basic colors had largely the same connotation across the two cultures. The only slight diversity was in the use of color </w:t>
      </w:r>
      <w:r w:rsidR="00E442E1">
        <w:rPr>
          <w:rFonts w:ascii="Times New Roman" w:hAnsi="Times New Roman"/>
          <w:sz w:val="24"/>
          <w:szCs w:val="24"/>
        </w:rPr>
        <w:t>r</w:t>
      </w:r>
      <w:r w:rsidR="00D426D1">
        <w:rPr>
          <w:rFonts w:ascii="Times New Roman" w:hAnsi="Times New Roman"/>
          <w:sz w:val="24"/>
          <w:szCs w:val="24"/>
        </w:rPr>
        <w:t xml:space="preserve">ed by the two cultures respectively. Although the connotation of </w:t>
      </w:r>
      <w:r w:rsidR="00E442E1">
        <w:rPr>
          <w:rFonts w:ascii="Times New Roman" w:hAnsi="Times New Roman"/>
          <w:sz w:val="24"/>
          <w:szCs w:val="24"/>
        </w:rPr>
        <w:t>l</w:t>
      </w:r>
      <w:r w:rsidR="00D426D1">
        <w:rPr>
          <w:rFonts w:ascii="Times New Roman" w:hAnsi="Times New Roman"/>
          <w:sz w:val="24"/>
          <w:szCs w:val="24"/>
        </w:rPr>
        <w:t xml:space="preserve">ove was general to the two cultures, the Yoruba perceived </w:t>
      </w:r>
      <w:r w:rsidR="00E442E1">
        <w:rPr>
          <w:rFonts w:ascii="Times New Roman" w:hAnsi="Times New Roman"/>
          <w:sz w:val="24"/>
          <w:szCs w:val="24"/>
        </w:rPr>
        <w:t>r</w:t>
      </w:r>
      <w:r w:rsidR="00D426D1">
        <w:rPr>
          <w:rFonts w:ascii="Times New Roman" w:hAnsi="Times New Roman"/>
          <w:sz w:val="24"/>
          <w:szCs w:val="24"/>
        </w:rPr>
        <w:t xml:space="preserve">ed to signify danger in addition, while the Chinese perceived </w:t>
      </w:r>
      <w:r w:rsidR="00E442E1">
        <w:rPr>
          <w:rFonts w:ascii="Times New Roman" w:hAnsi="Times New Roman"/>
          <w:sz w:val="24"/>
          <w:szCs w:val="24"/>
        </w:rPr>
        <w:t>r</w:t>
      </w:r>
      <w:r w:rsidR="00D426D1">
        <w:rPr>
          <w:rFonts w:ascii="Times New Roman" w:hAnsi="Times New Roman"/>
          <w:sz w:val="24"/>
          <w:szCs w:val="24"/>
        </w:rPr>
        <w:t>ed to also symbolize Happiness and Pride.</w:t>
      </w:r>
    </w:p>
    <w:p w14:paraId="5144D154" w14:textId="77777777" w:rsidR="00D426D1" w:rsidRPr="009179AA" w:rsidRDefault="00726227" w:rsidP="00196624">
      <w:pPr>
        <w:autoSpaceDE w:val="0"/>
        <w:autoSpaceDN w:val="0"/>
        <w:adjustRightInd w:val="0"/>
        <w:spacing w:beforeLines="50" w:before="120" w:afterLines="50" w:after="120" w:line="240" w:lineRule="auto"/>
        <w:jc w:val="both"/>
        <w:rPr>
          <w:rFonts w:ascii="Times New Roman" w:hAnsi="Times New Roman"/>
          <w:b/>
          <w:sz w:val="24"/>
          <w:szCs w:val="24"/>
        </w:rPr>
      </w:pPr>
      <w:r>
        <w:rPr>
          <w:noProof/>
        </w:rPr>
        <mc:AlternateContent>
          <mc:Choice Requires="wps">
            <w:drawing>
              <wp:anchor distT="0" distB="0" distL="114300" distR="114300" simplePos="0" relativeHeight="251654656" behindDoc="0" locked="0" layoutInCell="1" allowOverlap="1" wp14:anchorId="028CE726" wp14:editId="728C4D0E">
                <wp:simplePos x="0" y="0"/>
                <wp:positionH relativeFrom="column">
                  <wp:posOffset>-615950</wp:posOffset>
                </wp:positionH>
                <wp:positionV relativeFrom="paragraph">
                  <wp:posOffset>2093595</wp:posOffset>
                </wp:positionV>
                <wp:extent cx="7181850" cy="9525"/>
                <wp:effectExtent l="0" t="0" r="0" b="9525"/>
                <wp:wrapNone/>
                <wp:docPr id="1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71818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EF6779" id="AutoShape 11" o:spid="_x0000_s1026" type="#_x0000_t32" style="position:absolute;margin-left:-48.5pt;margin-top:164.85pt;width:565.5pt;height:.75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">
                <o:lock v:ext="edit" shapetype="f"/>
              </v:shape>
            </w:pict>
          </mc:Fallback>
        </mc:AlternateContent>
      </w:r>
      <w:r w:rsidR="00D426D1">
        <w:rPr>
          <w:rFonts w:ascii="Times New Roman" w:hAnsi="Times New Roman"/>
          <w:b/>
          <w:sz w:val="24"/>
          <w:szCs w:val="24"/>
        </w:rPr>
        <w:t>Table 2</w:t>
      </w:r>
      <w:r w:rsidR="00D426D1" w:rsidRPr="009179AA">
        <w:rPr>
          <w:rFonts w:ascii="Times New Roman" w:hAnsi="Times New Roman"/>
          <w:b/>
          <w:sz w:val="24"/>
          <w:szCs w:val="24"/>
        </w:rPr>
        <w:t xml:space="preserve">. Mother Tongue </w:t>
      </w:r>
      <w:r w:rsidR="00D426D1">
        <w:rPr>
          <w:rFonts w:ascii="Times New Roman" w:hAnsi="Times New Roman"/>
          <w:b/>
          <w:sz w:val="24"/>
          <w:szCs w:val="24"/>
        </w:rPr>
        <w:t>Color</w:t>
      </w:r>
    </w:p>
    <w:tbl>
      <w:tblPr>
        <w:tblW w:w="11320" w:type="dxa"/>
        <w:tblInd w:w="-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810"/>
        <w:gridCol w:w="810"/>
        <w:gridCol w:w="900"/>
        <w:gridCol w:w="810"/>
        <w:gridCol w:w="790"/>
        <w:gridCol w:w="810"/>
        <w:gridCol w:w="810"/>
        <w:gridCol w:w="810"/>
      </w:tblGrid>
      <w:tr w:rsidR="00D426D1" w:rsidRPr="00BD6690" w14:paraId="2E03BD0D" w14:textId="77777777"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14:paraId="581F59E8" w14:textId="77777777" w:rsidR="00D426D1" w:rsidRPr="00BD6690" w:rsidRDefault="00D426D1" w:rsidP="00196624">
            <w:pPr>
              <w:spacing w:beforeLines="50" w:before="120" w:afterLines="50" w:after="120" w:line="240" w:lineRule="auto"/>
              <w:rPr>
                <w:rFonts w:ascii="Arial" w:hAnsi="Arial" w:cs="Arial"/>
                <w:color w:val="000000"/>
                <w:sz w:val="18"/>
                <w:szCs w:val="18"/>
              </w:rPr>
            </w:pPr>
          </w:p>
        </w:tc>
        <w:tc>
          <w:tcPr>
            <w:tcW w:w="7180" w:type="dxa"/>
            <w:gridSpan w:val="9"/>
            <w:tcBorders>
              <w:top w:val="single" w:sz="16" w:space="0" w:color="000000"/>
              <w:left w:val="single" w:sz="16" w:space="0" w:color="000000"/>
            </w:tcBorders>
            <w:shd w:val="clear" w:color="auto" w:fill="FFFFFF"/>
          </w:tcPr>
          <w:p w14:paraId="45C903AE"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Color (MT)</w:t>
            </w:r>
          </w:p>
        </w:tc>
        <w:tc>
          <w:tcPr>
            <w:tcW w:w="810" w:type="dxa"/>
            <w:vMerge w:val="restart"/>
            <w:tcBorders>
              <w:top w:val="single" w:sz="16" w:space="0" w:color="000000"/>
              <w:right w:val="single" w:sz="16" w:space="0" w:color="000000"/>
            </w:tcBorders>
            <w:shd w:val="clear" w:color="auto" w:fill="FFFFFF"/>
          </w:tcPr>
          <w:p w14:paraId="4B9F015A"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14:paraId="20588B27" w14:textId="77777777"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14:paraId="60787004"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14:paraId="076E308F"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720" w:type="dxa"/>
            <w:tcBorders>
              <w:bottom w:val="single" w:sz="16" w:space="0" w:color="000000"/>
            </w:tcBorders>
            <w:shd w:val="clear" w:color="auto" w:fill="FFFFFF"/>
          </w:tcPr>
          <w:p w14:paraId="29498F07"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810" w:type="dxa"/>
            <w:tcBorders>
              <w:bottom w:val="single" w:sz="16" w:space="0" w:color="000000"/>
            </w:tcBorders>
            <w:shd w:val="clear" w:color="auto" w:fill="FFFFFF"/>
          </w:tcPr>
          <w:p w14:paraId="0600D869"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810" w:type="dxa"/>
            <w:tcBorders>
              <w:bottom w:val="single" w:sz="16" w:space="0" w:color="000000"/>
            </w:tcBorders>
            <w:shd w:val="clear" w:color="auto" w:fill="FFFFFF"/>
          </w:tcPr>
          <w:p w14:paraId="697AF7F4"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900" w:type="dxa"/>
            <w:tcBorders>
              <w:bottom w:val="single" w:sz="16" w:space="0" w:color="000000"/>
            </w:tcBorders>
            <w:shd w:val="clear" w:color="auto" w:fill="FFFFFF"/>
          </w:tcPr>
          <w:p w14:paraId="2D87343E"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810" w:type="dxa"/>
            <w:tcBorders>
              <w:bottom w:val="single" w:sz="16" w:space="0" w:color="000000"/>
            </w:tcBorders>
            <w:shd w:val="clear" w:color="auto" w:fill="FFFFFF"/>
          </w:tcPr>
          <w:p w14:paraId="36EBF7E1"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790" w:type="dxa"/>
            <w:tcBorders>
              <w:bottom w:val="single" w:sz="16" w:space="0" w:color="000000"/>
            </w:tcBorders>
            <w:shd w:val="clear" w:color="auto" w:fill="FFFFFF"/>
          </w:tcPr>
          <w:p w14:paraId="159145E9"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810" w:type="dxa"/>
            <w:tcBorders>
              <w:bottom w:val="single" w:sz="16" w:space="0" w:color="000000"/>
            </w:tcBorders>
            <w:shd w:val="clear" w:color="auto" w:fill="FFFFFF"/>
          </w:tcPr>
          <w:p w14:paraId="0133C6F4"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810" w:type="dxa"/>
            <w:tcBorders>
              <w:bottom w:val="single" w:sz="16" w:space="0" w:color="000000"/>
            </w:tcBorders>
            <w:shd w:val="clear" w:color="auto" w:fill="FFFFFF"/>
          </w:tcPr>
          <w:p w14:paraId="3A6420CF"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14:paraId="2E4B7872"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14:paraId="594B8937" w14:textId="77777777"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14:paraId="7FDF138E"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14:paraId="2BFE3E3A"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14:paraId="53A5F27D"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14:paraId="205480D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52</w:t>
            </w:r>
          </w:p>
        </w:tc>
        <w:tc>
          <w:tcPr>
            <w:tcW w:w="720" w:type="dxa"/>
            <w:tcBorders>
              <w:top w:val="single" w:sz="16" w:space="0" w:color="000000"/>
              <w:bottom w:val="nil"/>
            </w:tcBorders>
            <w:shd w:val="clear" w:color="auto" w:fill="FFFFFF"/>
            <w:vAlign w:val="center"/>
          </w:tcPr>
          <w:p w14:paraId="64DEE93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14:paraId="56A565D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w:t>
            </w:r>
          </w:p>
        </w:tc>
        <w:tc>
          <w:tcPr>
            <w:tcW w:w="810" w:type="dxa"/>
            <w:tcBorders>
              <w:top w:val="single" w:sz="16" w:space="0" w:color="000000"/>
              <w:bottom w:val="nil"/>
            </w:tcBorders>
            <w:shd w:val="clear" w:color="auto" w:fill="FFFFFF"/>
            <w:vAlign w:val="center"/>
          </w:tcPr>
          <w:p w14:paraId="22404C1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35</w:t>
            </w:r>
          </w:p>
        </w:tc>
        <w:tc>
          <w:tcPr>
            <w:tcW w:w="900" w:type="dxa"/>
            <w:tcBorders>
              <w:top w:val="single" w:sz="16" w:space="0" w:color="000000"/>
              <w:bottom w:val="nil"/>
            </w:tcBorders>
            <w:shd w:val="clear" w:color="auto" w:fill="FFFFFF"/>
            <w:vAlign w:val="center"/>
          </w:tcPr>
          <w:p w14:paraId="17B49CB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14:paraId="06EC404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90" w:type="dxa"/>
            <w:tcBorders>
              <w:top w:val="single" w:sz="16" w:space="0" w:color="000000"/>
              <w:bottom w:val="nil"/>
            </w:tcBorders>
            <w:shd w:val="clear" w:color="auto" w:fill="FFFFFF"/>
            <w:vAlign w:val="center"/>
          </w:tcPr>
          <w:p w14:paraId="306B38B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17</w:t>
            </w:r>
          </w:p>
        </w:tc>
        <w:tc>
          <w:tcPr>
            <w:tcW w:w="810" w:type="dxa"/>
            <w:tcBorders>
              <w:top w:val="single" w:sz="16" w:space="0" w:color="000000"/>
              <w:bottom w:val="nil"/>
            </w:tcBorders>
            <w:shd w:val="clear" w:color="auto" w:fill="FFFFFF"/>
            <w:vAlign w:val="center"/>
          </w:tcPr>
          <w:p w14:paraId="1C6C8D0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14:paraId="0B6BA56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14:paraId="3BB63CE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130</w:t>
            </w:r>
          </w:p>
        </w:tc>
      </w:tr>
      <w:tr w:rsidR="00D426D1" w:rsidRPr="00BD6690" w14:paraId="1D022276"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41DBE343"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14:paraId="2BAA6AD7"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43D18A5B"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6704" behindDoc="0" locked="0" layoutInCell="1" allowOverlap="1" wp14:anchorId="0B751165" wp14:editId="25290B1D">
                      <wp:simplePos x="0" y="0"/>
                      <wp:positionH relativeFrom="column">
                        <wp:posOffset>67945</wp:posOffset>
                      </wp:positionH>
                      <wp:positionV relativeFrom="paragraph">
                        <wp:posOffset>-3810</wp:posOffset>
                      </wp:positionV>
                      <wp:extent cx="5632450" cy="28575"/>
                      <wp:effectExtent l="0" t="0" r="6350" b="9525"/>
                      <wp:wrapNone/>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63245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E6230A" id="AutoShape 13" o:spid="_x0000_s1026" type="#_x0000_t32" style="position:absolute;margin-left:5.35pt;margin-top:-.3pt;width:443.5pt;height:2.25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58B58D2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20.0%</w:t>
            </w:r>
          </w:p>
        </w:tc>
        <w:tc>
          <w:tcPr>
            <w:tcW w:w="720" w:type="dxa"/>
            <w:tcBorders>
              <w:top w:val="nil"/>
              <w:bottom w:val="nil"/>
            </w:tcBorders>
            <w:shd w:val="clear" w:color="auto" w:fill="FFFFFF"/>
            <w:vAlign w:val="center"/>
          </w:tcPr>
          <w:p w14:paraId="47F46DE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tcBorders>
            <w:shd w:val="clear" w:color="auto" w:fill="FFFFFF"/>
            <w:vAlign w:val="center"/>
          </w:tcPr>
          <w:p w14:paraId="0728156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4.2%</w:t>
            </w:r>
          </w:p>
        </w:tc>
        <w:tc>
          <w:tcPr>
            <w:tcW w:w="810" w:type="dxa"/>
            <w:tcBorders>
              <w:top w:val="nil"/>
              <w:bottom w:val="nil"/>
            </w:tcBorders>
            <w:shd w:val="clear" w:color="auto" w:fill="FFFFFF"/>
            <w:vAlign w:val="center"/>
          </w:tcPr>
          <w:p w14:paraId="27C8C60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13.5%</w:t>
            </w:r>
          </w:p>
        </w:tc>
        <w:tc>
          <w:tcPr>
            <w:tcW w:w="900" w:type="dxa"/>
            <w:tcBorders>
              <w:top w:val="nil"/>
              <w:bottom w:val="nil"/>
            </w:tcBorders>
            <w:shd w:val="clear" w:color="auto" w:fill="FFFFFF"/>
            <w:vAlign w:val="center"/>
          </w:tcPr>
          <w:p w14:paraId="5C62300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tcBorders>
            <w:shd w:val="clear" w:color="auto" w:fill="FFFFFF"/>
            <w:vAlign w:val="center"/>
          </w:tcPr>
          <w:p w14:paraId="3DD9071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0.4%</w:t>
            </w:r>
          </w:p>
        </w:tc>
        <w:tc>
          <w:tcPr>
            <w:tcW w:w="790" w:type="dxa"/>
            <w:tcBorders>
              <w:top w:val="nil"/>
              <w:bottom w:val="nil"/>
            </w:tcBorders>
            <w:shd w:val="clear" w:color="auto" w:fill="FFFFFF"/>
            <w:vAlign w:val="center"/>
          </w:tcPr>
          <w:p w14:paraId="49F2881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14:paraId="785C197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3.8%</w:t>
            </w:r>
          </w:p>
        </w:tc>
        <w:tc>
          <w:tcPr>
            <w:tcW w:w="810" w:type="dxa"/>
            <w:tcBorders>
              <w:top w:val="nil"/>
              <w:bottom w:val="nil"/>
            </w:tcBorders>
            <w:shd w:val="clear" w:color="auto" w:fill="FFFFFF"/>
            <w:vAlign w:val="center"/>
          </w:tcPr>
          <w:p w14:paraId="004B04F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right w:val="single" w:sz="16" w:space="0" w:color="000000"/>
            </w:tcBorders>
            <w:shd w:val="clear" w:color="auto" w:fill="FFFFFF"/>
            <w:vAlign w:val="center"/>
          </w:tcPr>
          <w:p w14:paraId="590B2E7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50.0%</w:t>
            </w:r>
          </w:p>
        </w:tc>
      </w:tr>
      <w:tr w:rsidR="00D426D1" w:rsidRPr="00BD6690" w14:paraId="5E86A641"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75F0D691"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14:paraId="33646061"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5680" behindDoc="0" locked="0" layoutInCell="1" allowOverlap="1" wp14:anchorId="329C0C96" wp14:editId="279BA10C">
                      <wp:simplePos x="0" y="0"/>
                      <wp:positionH relativeFrom="column">
                        <wp:posOffset>19050</wp:posOffset>
                      </wp:positionH>
                      <wp:positionV relativeFrom="paragraph">
                        <wp:posOffset>-99695</wp:posOffset>
                      </wp:positionV>
                      <wp:extent cx="6365875" cy="19050"/>
                      <wp:effectExtent l="0" t="0" r="0" b="0"/>
                      <wp:wrapNone/>
                      <wp:docPr id="1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3658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A2BCE9" id="AutoShape 12" o:spid="_x0000_s1026" type="#_x0000_t32" style="position:absolute;margin-left:1.5pt;margin-top:-7.85pt;width:501.25pt;height:1.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">
                      <o:lock v:ext="edit" shapetype="f"/>
                    </v:shape>
                  </w:pict>
                </mc:Fallback>
              </mc:AlternateContent>
            </w:r>
            <w:r w:rsidR="00D426D1"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14:paraId="2CD22BB4"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14:paraId="15E3504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720" w:type="dxa"/>
            <w:tcBorders>
              <w:top w:val="nil"/>
              <w:bottom w:val="nil"/>
            </w:tcBorders>
            <w:shd w:val="clear" w:color="auto" w:fill="FFFFFF"/>
            <w:vAlign w:val="center"/>
          </w:tcPr>
          <w:p w14:paraId="4C8BEDB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14:paraId="2F2A6BB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tcBorders>
            <w:shd w:val="clear" w:color="auto" w:fill="FFFFFF"/>
            <w:vAlign w:val="center"/>
          </w:tcPr>
          <w:p w14:paraId="0973A2E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91</w:t>
            </w:r>
          </w:p>
        </w:tc>
        <w:tc>
          <w:tcPr>
            <w:tcW w:w="900" w:type="dxa"/>
            <w:tcBorders>
              <w:top w:val="nil"/>
              <w:bottom w:val="nil"/>
            </w:tcBorders>
            <w:shd w:val="clear" w:color="auto" w:fill="FFFFFF"/>
            <w:vAlign w:val="center"/>
          </w:tcPr>
          <w:p w14:paraId="343D33B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14:paraId="2AF5A50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790" w:type="dxa"/>
            <w:tcBorders>
              <w:top w:val="nil"/>
              <w:bottom w:val="nil"/>
            </w:tcBorders>
            <w:shd w:val="clear" w:color="auto" w:fill="FFFFFF"/>
            <w:vAlign w:val="center"/>
          </w:tcPr>
          <w:p w14:paraId="2CC81A0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810" w:type="dxa"/>
            <w:tcBorders>
              <w:top w:val="nil"/>
              <w:bottom w:val="nil"/>
            </w:tcBorders>
            <w:shd w:val="clear" w:color="auto" w:fill="FFFFFF"/>
            <w:vAlign w:val="center"/>
          </w:tcPr>
          <w:p w14:paraId="139BC31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14:paraId="5997C11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nil"/>
              <w:bottom w:val="nil"/>
              <w:right w:val="single" w:sz="16" w:space="0" w:color="000000"/>
            </w:tcBorders>
            <w:shd w:val="clear" w:color="auto" w:fill="FFFFFF"/>
            <w:vAlign w:val="center"/>
          </w:tcPr>
          <w:p w14:paraId="2DD8502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130</w:t>
            </w:r>
          </w:p>
        </w:tc>
      </w:tr>
      <w:tr w:rsidR="00D426D1" w:rsidRPr="00BD6690" w14:paraId="58AAD4A1"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6EA4E227"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14:paraId="4684EA81"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742525E9"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4294967295" distB="4294967295" distL="114300" distR="114300" simplePos="0" relativeHeight="251657728" behindDoc="0" locked="0" layoutInCell="1" allowOverlap="1" wp14:anchorId="187E18F0" wp14:editId="388F5EEB">
                      <wp:simplePos x="0" y="0"/>
                      <wp:positionH relativeFrom="column">
                        <wp:posOffset>67945</wp:posOffset>
                      </wp:positionH>
                      <wp:positionV relativeFrom="paragraph">
                        <wp:posOffset>5714</wp:posOffset>
                      </wp:positionV>
                      <wp:extent cx="5632450" cy="0"/>
                      <wp:effectExtent l="0" t="0" r="0" b="0"/>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63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50940D" id="AutoShape 14" o:spid="_x0000_s1026" type="#_x0000_t32" style="position:absolute;margin-left:5.35pt;margin-top:.45pt;width:443.5pt;height:0;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502C4DA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5.0%</w:t>
            </w:r>
          </w:p>
        </w:tc>
        <w:tc>
          <w:tcPr>
            <w:tcW w:w="720" w:type="dxa"/>
            <w:tcBorders>
              <w:top w:val="nil"/>
              <w:bottom w:val="nil"/>
            </w:tcBorders>
            <w:shd w:val="clear" w:color="auto" w:fill="FFFFFF"/>
            <w:vAlign w:val="center"/>
          </w:tcPr>
          <w:p w14:paraId="4EAD1E1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14:paraId="626871A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810" w:type="dxa"/>
            <w:tcBorders>
              <w:top w:val="nil"/>
              <w:bottom w:val="nil"/>
            </w:tcBorders>
            <w:shd w:val="clear" w:color="auto" w:fill="FFFFFF"/>
            <w:vAlign w:val="center"/>
          </w:tcPr>
          <w:p w14:paraId="5BDD2C4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35.0%</w:t>
            </w:r>
          </w:p>
        </w:tc>
        <w:tc>
          <w:tcPr>
            <w:tcW w:w="900" w:type="dxa"/>
            <w:tcBorders>
              <w:top w:val="nil"/>
              <w:bottom w:val="nil"/>
            </w:tcBorders>
            <w:shd w:val="clear" w:color="auto" w:fill="FFFFFF"/>
            <w:vAlign w:val="center"/>
          </w:tcPr>
          <w:p w14:paraId="4EF9398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14:paraId="4A20A25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790" w:type="dxa"/>
            <w:tcBorders>
              <w:top w:val="nil"/>
              <w:bottom w:val="nil"/>
            </w:tcBorders>
            <w:shd w:val="clear" w:color="auto" w:fill="FFFFFF"/>
            <w:vAlign w:val="center"/>
          </w:tcPr>
          <w:p w14:paraId="60FFF90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810" w:type="dxa"/>
            <w:tcBorders>
              <w:top w:val="nil"/>
              <w:bottom w:val="nil"/>
            </w:tcBorders>
            <w:shd w:val="clear" w:color="auto" w:fill="FFFFFF"/>
            <w:vAlign w:val="center"/>
          </w:tcPr>
          <w:p w14:paraId="5702830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0.4%</w:t>
            </w:r>
          </w:p>
        </w:tc>
        <w:tc>
          <w:tcPr>
            <w:tcW w:w="810" w:type="dxa"/>
            <w:tcBorders>
              <w:top w:val="nil"/>
              <w:bottom w:val="nil"/>
            </w:tcBorders>
            <w:shd w:val="clear" w:color="auto" w:fill="FFFFFF"/>
            <w:vAlign w:val="center"/>
          </w:tcPr>
          <w:p w14:paraId="166A51F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right w:val="single" w:sz="16" w:space="0" w:color="000000"/>
            </w:tcBorders>
            <w:shd w:val="clear" w:color="auto" w:fill="FFFFFF"/>
            <w:vAlign w:val="center"/>
          </w:tcPr>
          <w:p w14:paraId="07D6DB6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50.0%</w:t>
            </w:r>
          </w:p>
        </w:tc>
      </w:tr>
      <w:tr w:rsidR="00D426D1" w:rsidRPr="00BD6690" w14:paraId="6D362AB7" w14:textId="77777777"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14:paraId="2CAC0DC4"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Total</w:t>
            </w:r>
          </w:p>
        </w:tc>
        <w:tc>
          <w:tcPr>
            <w:tcW w:w="992" w:type="dxa"/>
            <w:tcBorders>
              <w:top w:val="nil"/>
              <w:left w:val="nil"/>
              <w:bottom w:val="nil"/>
              <w:right w:val="single" w:sz="16" w:space="0" w:color="000000"/>
            </w:tcBorders>
            <w:shd w:val="clear" w:color="auto" w:fill="FFFFFF"/>
            <w:vAlign w:val="center"/>
          </w:tcPr>
          <w:p w14:paraId="5F98D38B"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14:paraId="04F8764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65</w:t>
            </w:r>
          </w:p>
        </w:tc>
        <w:tc>
          <w:tcPr>
            <w:tcW w:w="720" w:type="dxa"/>
            <w:tcBorders>
              <w:top w:val="nil"/>
              <w:bottom w:val="nil"/>
            </w:tcBorders>
            <w:shd w:val="clear" w:color="auto" w:fill="FFFFFF"/>
            <w:vAlign w:val="center"/>
          </w:tcPr>
          <w:p w14:paraId="4ADF5D0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tcBorders>
            <w:shd w:val="clear" w:color="auto" w:fill="FFFFFF"/>
            <w:vAlign w:val="center"/>
          </w:tcPr>
          <w:p w14:paraId="76000B4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810" w:type="dxa"/>
            <w:tcBorders>
              <w:top w:val="nil"/>
              <w:bottom w:val="nil"/>
            </w:tcBorders>
            <w:shd w:val="clear" w:color="auto" w:fill="FFFFFF"/>
            <w:vAlign w:val="center"/>
          </w:tcPr>
          <w:p w14:paraId="7ABDEF7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126</w:t>
            </w:r>
          </w:p>
        </w:tc>
        <w:tc>
          <w:tcPr>
            <w:tcW w:w="900" w:type="dxa"/>
            <w:tcBorders>
              <w:top w:val="nil"/>
              <w:bottom w:val="nil"/>
            </w:tcBorders>
            <w:shd w:val="clear" w:color="auto" w:fill="FFFFFF"/>
            <w:vAlign w:val="center"/>
          </w:tcPr>
          <w:p w14:paraId="6399BE4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tcBorders>
            <w:shd w:val="clear" w:color="auto" w:fill="FFFFFF"/>
            <w:vAlign w:val="center"/>
          </w:tcPr>
          <w:p w14:paraId="1C251C8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790" w:type="dxa"/>
            <w:tcBorders>
              <w:top w:val="nil"/>
              <w:bottom w:val="nil"/>
            </w:tcBorders>
            <w:shd w:val="clear" w:color="auto" w:fill="FFFFFF"/>
            <w:vAlign w:val="center"/>
          </w:tcPr>
          <w:p w14:paraId="56C4617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24</w:t>
            </w:r>
          </w:p>
        </w:tc>
        <w:tc>
          <w:tcPr>
            <w:tcW w:w="810" w:type="dxa"/>
            <w:tcBorders>
              <w:top w:val="nil"/>
              <w:bottom w:val="nil"/>
            </w:tcBorders>
            <w:shd w:val="clear" w:color="auto" w:fill="FFFFFF"/>
            <w:vAlign w:val="center"/>
          </w:tcPr>
          <w:p w14:paraId="46DC578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14:paraId="0E1646C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right w:val="single" w:sz="16" w:space="0" w:color="000000"/>
            </w:tcBorders>
            <w:shd w:val="clear" w:color="auto" w:fill="FFFFFF"/>
            <w:vAlign w:val="center"/>
          </w:tcPr>
          <w:p w14:paraId="07A5583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260</w:t>
            </w:r>
          </w:p>
        </w:tc>
      </w:tr>
      <w:tr w:rsidR="00D426D1" w:rsidRPr="00BD6690" w14:paraId="23A61783" w14:textId="77777777"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14:paraId="5211AE88"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14:paraId="0B618195"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8752" behindDoc="0" locked="0" layoutInCell="1" allowOverlap="1" wp14:anchorId="6F392BE5" wp14:editId="7F55D7D0">
                      <wp:simplePos x="0" y="0"/>
                      <wp:positionH relativeFrom="column">
                        <wp:posOffset>67945</wp:posOffset>
                      </wp:positionH>
                      <wp:positionV relativeFrom="paragraph">
                        <wp:posOffset>12065</wp:posOffset>
                      </wp:positionV>
                      <wp:extent cx="5632450" cy="19050"/>
                      <wp:effectExtent l="0" t="0" r="6350" b="0"/>
                      <wp:wrapNone/>
                      <wp:docPr id="1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6324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BF476D" id="AutoShape 15" o:spid="_x0000_s1026" type="#_x0000_t32" style="position:absolute;margin-left:5.35pt;margin-top:.95pt;width:443.5pt;height:1.5pt;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14:paraId="36B4F35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25.0%</w:t>
            </w:r>
          </w:p>
        </w:tc>
        <w:tc>
          <w:tcPr>
            <w:tcW w:w="720" w:type="dxa"/>
            <w:tcBorders>
              <w:top w:val="nil"/>
              <w:bottom w:val="single" w:sz="16" w:space="0" w:color="000000"/>
            </w:tcBorders>
            <w:shd w:val="clear" w:color="auto" w:fill="FFFFFF"/>
            <w:vAlign w:val="center"/>
          </w:tcPr>
          <w:p w14:paraId="56E9268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14:paraId="4976F60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5.4%</w:t>
            </w:r>
          </w:p>
        </w:tc>
        <w:tc>
          <w:tcPr>
            <w:tcW w:w="810" w:type="dxa"/>
            <w:tcBorders>
              <w:top w:val="nil"/>
              <w:bottom w:val="single" w:sz="16" w:space="0" w:color="000000"/>
            </w:tcBorders>
            <w:shd w:val="clear" w:color="auto" w:fill="FFFFFF"/>
            <w:vAlign w:val="center"/>
          </w:tcPr>
          <w:p w14:paraId="73C9829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48.5%</w:t>
            </w:r>
          </w:p>
        </w:tc>
        <w:tc>
          <w:tcPr>
            <w:tcW w:w="900" w:type="dxa"/>
            <w:tcBorders>
              <w:top w:val="nil"/>
              <w:bottom w:val="single" w:sz="16" w:space="0" w:color="000000"/>
            </w:tcBorders>
            <w:shd w:val="clear" w:color="auto" w:fill="FFFFFF"/>
            <w:vAlign w:val="center"/>
          </w:tcPr>
          <w:p w14:paraId="14A309F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14:paraId="4DC0E91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3.1%</w:t>
            </w:r>
          </w:p>
        </w:tc>
        <w:tc>
          <w:tcPr>
            <w:tcW w:w="790" w:type="dxa"/>
            <w:tcBorders>
              <w:top w:val="nil"/>
              <w:bottom w:val="single" w:sz="16" w:space="0" w:color="000000"/>
            </w:tcBorders>
            <w:shd w:val="clear" w:color="auto" w:fill="FFFFFF"/>
            <w:vAlign w:val="center"/>
          </w:tcPr>
          <w:p w14:paraId="7CBA29C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9.2%</w:t>
            </w:r>
          </w:p>
        </w:tc>
        <w:tc>
          <w:tcPr>
            <w:tcW w:w="810" w:type="dxa"/>
            <w:tcBorders>
              <w:top w:val="nil"/>
              <w:bottom w:val="single" w:sz="16" w:space="0" w:color="000000"/>
            </w:tcBorders>
            <w:shd w:val="clear" w:color="auto" w:fill="FFFFFF"/>
            <w:vAlign w:val="center"/>
          </w:tcPr>
          <w:p w14:paraId="0CE2D4F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4.2%</w:t>
            </w:r>
          </w:p>
        </w:tc>
        <w:tc>
          <w:tcPr>
            <w:tcW w:w="810" w:type="dxa"/>
            <w:tcBorders>
              <w:top w:val="nil"/>
              <w:bottom w:val="single" w:sz="16" w:space="0" w:color="000000"/>
            </w:tcBorders>
            <w:shd w:val="clear" w:color="auto" w:fill="FFFFFF"/>
            <w:vAlign w:val="center"/>
          </w:tcPr>
          <w:p w14:paraId="7511282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right w:val="single" w:sz="16" w:space="0" w:color="000000"/>
            </w:tcBorders>
            <w:shd w:val="clear" w:color="auto" w:fill="FFFFFF"/>
            <w:vAlign w:val="center"/>
          </w:tcPr>
          <w:p w14:paraId="2E3E35E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14:paraId="35E0D275" w14:textId="570169C9" w:rsidR="00D426D1" w:rsidRDefault="00D426D1" w:rsidP="00196624">
      <w:pPr>
        <w:numPr>
          <w:ins w:id="0" w:author="Author" w:date="2018-08-01T18:18:00Z"/>
        </w:num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There were 260</w:t>
      </w:r>
      <w:r w:rsidR="001F0E9D">
        <w:rPr>
          <w:rFonts w:ascii="Times New Roman" w:hAnsi="Times New Roman"/>
          <w:sz w:val="24"/>
          <w:szCs w:val="24"/>
        </w:rPr>
        <w:t xml:space="preserve"> </w:t>
      </w:r>
      <w:r>
        <w:rPr>
          <w:rFonts w:ascii="Times New Roman" w:hAnsi="Times New Roman"/>
          <w:sz w:val="24"/>
          <w:szCs w:val="24"/>
        </w:rPr>
        <w:t>(100%) total respondents. Out of 130</w:t>
      </w:r>
      <w:r w:rsidR="001F0E9D">
        <w:rPr>
          <w:rFonts w:ascii="Times New Roman" w:hAnsi="Times New Roman"/>
          <w:sz w:val="24"/>
          <w:szCs w:val="24"/>
        </w:rPr>
        <w:t xml:space="preserve"> </w:t>
      </w:r>
      <w:r>
        <w:rPr>
          <w:rFonts w:ascii="Times New Roman" w:hAnsi="Times New Roman"/>
          <w:sz w:val="24"/>
          <w:szCs w:val="24"/>
        </w:rPr>
        <w:t>(50%) Nigerians, 52</w:t>
      </w:r>
      <w:r w:rsidR="00083C31">
        <w:rPr>
          <w:rFonts w:ascii="Times New Roman" w:hAnsi="Times New Roman"/>
          <w:sz w:val="24"/>
          <w:szCs w:val="24"/>
        </w:rPr>
        <w:t xml:space="preserve"> </w:t>
      </w:r>
      <w:r>
        <w:rPr>
          <w:rFonts w:ascii="Times New Roman" w:hAnsi="Times New Roman"/>
          <w:sz w:val="24"/>
          <w:szCs w:val="24"/>
        </w:rPr>
        <w:t>(20%) selected white as the color to represent their mother tongue, 35</w:t>
      </w:r>
      <w:r w:rsidR="00083C31">
        <w:rPr>
          <w:rFonts w:ascii="Times New Roman" w:hAnsi="Times New Roman"/>
          <w:sz w:val="24"/>
          <w:szCs w:val="24"/>
        </w:rPr>
        <w:t xml:space="preserve"> </w:t>
      </w:r>
      <w:r>
        <w:rPr>
          <w:rFonts w:ascii="Times New Roman" w:hAnsi="Times New Roman"/>
          <w:sz w:val="24"/>
          <w:szCs w:val="24"/>
        </w:rPr>
        <w:t xml:space="preserve">(13.5%) selected </w:t>
      </w:r>
      <w:r w:rsidR="00BF7F80">
        <w:rPr>
          <w:rFonts w:ascii="Times New Roman" w:hAnsi="Times New Roman"/>
          <w:sz w:val="24"/>
          <w:szCs w:val="24"/>
        </w:rPr>
        <w:t>r</w:t>
      </w:r>
      <w:r>
        <w:rPr>
          <w:rFonts w:ascii="Times New Roman" w:hAnsi="Times New Roman"/>
          <w:sz w:val="24"/>
          <w:szCs w:val="24"/>
        </w:rPr>
        <w:t>ed while 17</w:t>
      </w:r>
      <w:r w:rsidR="001F0E9D">
        <w:rPr>
          <w:rFonts w:ascii="Times New Roman" w:hAnsi="Times New Roman"/>
          <w:sz w:val="24"/>
          <w:szCs w:val="24"/>
        </w:rPr>
        <w:t xml:space="preserve"> </w:t>
      </w:r>
      <w:r>
        <w:rPr>
          <w:rFonts w:ascii="Times New Roman" w:hAnsi="Times New Roman"/>
          <w:sz w:val="24"/>
          <w:szCs w:val="24"/>
        </w:rPr>
        <w:t xml:space="preserve">(6.5%) selected </w:t>
      </w:r>
      <w:r w:rsidR="002A2EB2">
        <w:rPr>
          <w:rFonts w:ascii="Times New Roman" w:hAnsi="Times New Roman"/>
          <w:sz w:val="24"/>
          <w:szCs w:val="24"/>
        </w:rPr>
        <w:t>b</w:t>
      </w:r>
      <w:r>
        <w:rPr>
          <w:rFonts w:ascii="Times New Roman" w:hAnsi="Times New Roman"/>
          <w:sz w:val="24"/>
          <w:szCs w:val="24"/>
        </w:rPr>
        <w:t xml:space="preserve">lue. </w:t>
      </w:r>
      <w:r w:rsidR="00BF7F80">
        <w:rPr>
          <w:rFonts w:ascii="Times New Roman" w:hAnsi="Times New Roman"/>
          <w:sz w:val="24"/>
          <w:szCs w:val="24"/>
        </w:rPr>
        <w:t>W</w:t>
      </w:r>
      <w:r>
        <w:rPr>
          <w:rFonts w:ascii="Times New Roman" w:hAnsi="Times New Roman"/>
          <w:sz w:val="24"/>
          <w:szCs w:val="24"/>
        </w:rPr>
        <w:t xml:space="preserve">hite, </w:t>
      </w:r>
      <w:r w:rsidR="002A2EB2">
        <w:rPr>
          <w:rFonts w:ascii="Times New Roman" w:hAnsi="Times New Roman"/>
          <w:sz w:val="24"/>
          <w:szCs w:val="24"/>
        </w:rPr>
        <w:t>y</w:t>
      </w:r>
      <w:r>
        <w:rPr>
          <w:rFonts w:ascii="Times New Roman" w:hAnsi="Times New Roman"/>
          <w:sz w:val="24"/>
          <w:szCs w:val="24"/>
        </w:rPr>
        <w:t xml:space="preserve">ellow, </w:t>
      </w:r>
      <w:r w:rsidR="00BF7F80">
        <w:rPr>
          <w:rFonts w:ascii="Times New Roman" w:hAnsi="Times New Roman"/>
          <w:sz w:val="24"/>
          <w:szCs w:val="24"/>
        </w:rPr>
        <w:t>b</w:t>
      </w:r>
      <w:r w:rsidRPr="00BF7F80">
        <w:rPr>
          <w:rFonts w:ascii="Times New Roman" w:hAnsi="Times New Roman"/>
          <w:sz w:val="24"/>
          <w:szCs w:val="24"/>
        </w:rPr>
        <w:t>lue</w:t>
      </w:r>
      <w:r>
        <w:rPr>
          <w:rFonts w:ascii="Times New Roman" w:hAnsi="Times New Roman"/>
          <w:sz w:val="24"/>
          <w:szCs w:val="24"/>
        </w:rPr>
        <w:t xml:space="preserve">, </w:t>
      </w:r>
      <w:r w:rsidR="00BF7F80">
        <w:rPr>
          <w:rFonts w:ascii="Times New Roman" w:hAnsi="Times New Roman"/>
          <w:sz w:val="24"/>
          <w:szCs w:val="24"/>
        </w:rPr>
        <w:t>g</w:t>
      </w:r>
      <w:r>
        <w:rPr>
          <w:rFonts w:ascii="Times New Roman" w:hAnsi="Times New Roman"/>
          <w:sz w:val="24"/>
          <w:szCs w:val="24"/>
        </w:rPr>
        <w:t xml:space="preserve">reen and </w:t>
      </w:r>
      <w:r w:rsidR="00BF7F80">
        <w:rPr>
          <w:rFonts w:ascii="Times New Roman" w:hAnsi="Times New Roman"/>
          <w:sz w:val="24"/>
          <w:szCs w:val="24"/>
        </w:rPr>
        <w:t>p</w:t>
      </w:r>
      <w:r>
        <w:rPr>
          <w:rFonts w:ascii="Times New Roman" w:hAnsi="Times New Roman"/>
          <w:sz w:val="24"/>
          <w:szCs w:val="24"/>
        </w:rPr>
        <w:t xml:space="preserve">urple reflected a positive attitude as respondents interpreted them to mean </w:t>
      </w:r>
      <w:r w:rsidR="00BF7F80">
        <w:rPr>
          <w:rFonts w:ascii="Times New Roman" w:hAnsi="Times New Roman"/>
          <w:sz w:val="24"/>
          <w:szCs w:val="24"/>
        </w:rPr>
        <w:t>p</w:t>
      </w:r>
      <w:r>
        <w:rPr>
          <w:rFonts w:ascii="Times New Roman" w:hAnsi="Times New Roman"/>
          <w:sz w:val="24"/>
          <w:szCs w:val="24"/>
        </w:rPr>
        <w:t>urity/</w:t>
      </w:r>
      <w:r w:rsidR="00BF7F80">
        <w:rPr>
          <w:rFonts w:ascii="Times New Roman" w:hAnsi="Times New Roman"/>
          <w:sz w:val="24"/>
          <w:szCs w:val="24"/>
        </w:rPr>
        <w:t>d</w:t>
      </w:r>
      <w:r>
        <w:rPr>
          <w:rFonts w:ascii="Times New Roman" w:hAnsi="Times New Roman"/>
          <w:sz w:val="24"/>
          <w:szCs w:val="24"/>
        </w:rPr>
        <w:t xml:space="preserve">ignity, </w:t>
      </w:r>
      <w:r w:rsidR="00BF7F80">
        <w:rPr>
          <w:rFonts w:ascii="Times New Roman" w:hAnsi="Times New Roman"/>
          <w:sz w:val="24"/>
          <w:szCs w:val="24"/>
        </w:rPr>
        <w:t>b</w:t>
      </w:r>
      <w:r>
        <w:rPr>
          <w:rFonts w:ascii="Times New Roman" w:hAnsi="Times New Roman"/>
          <w:sz w:val="24"/>
          <w:szCs w:val="24"/>
        </w:rPr>
        <w:t xml:space="preserve">rightness, </w:t>
      </w:r>
      <w:r w:rsidR="00BF7F80">
        <w:rPr>
          <w:rFonts w:ascii="Times New Roman" w:hAnsi="Times New Roman"/>
          <w:sz w:val="24"/>
          <w:szCs w:val="24"/>
        </w:rPr>
        <w:t>c</w:t>
      </w:r>
      <w:r>
        <w:rPr>
          <w:rFonts w:ascii="Times New Roman" w:hAnsi="Times New Roman"/>
          <w:sz w:val="24"/>
          <w:szCs w:val="24"/>
        </w:rPr>
        <w:t xml:space="preserve">almness, </w:t>
      </w:r>
      <w:r w:rsidR="00BF7F80">
        <w:rPr>
          <w:rFonts w:ascii="Times New Roman" w:hAnsi="Times New Roman"/>
          <w:sz w:val="24"/>
          <w:szCs w:val="24"/>
        </w:rPr>
        <w:t>f</w:t>
      </w:r>
      <w:r>
        <w:rPr>
          <w:rFonts w:ascii="Times New Roman" w:hAnsi="Times New Roman"/>
          <w:sz w:val="24"/>
          <w:szCs w:val="24"/>
        </w:rPr>
        <w:t xml:space="preserve">ertility and </w:t>
      </w:r>
      <w:r w:rsidR="00BF7F80">
        <w:rPr>
          <w:rFonts w:ascii="Times New Roman" w:hAnsi="Times New Roman"/>
          <w:sz w:val="24"/>
          <w:szCs w:val="24"/>
        </w:rPr>
        <w:t>r</w:t>
      </w:r>
      <w:r>
        <w:rPr>
          <w:rFonts w:ascii="Times New Roman" w:hAnsi="Times New Roman"/>
          <w:sz w:val="24"/>
          <w:szCs w:val="24"/>
        </w:rPr>
        <w:t>oyalty respectively. However, the bulk of the 35</w:t>
      </w:r>
      <w:r w:rsidR="001F0E9D">
        <w:rPr>
          <w:rFonts w:ascii="Times New Roman" w:hAnsi="Times New Roman"/>
          <w:sz w:val="24"/>
          <w:szCs w:val="24"/>
        </w:rPr>
        <w:t xml:space="preserve"> </w:t>
      </w:r>
      <w:r>
        <w:rPr>
          <w:rFonts w:ascii="Times New Roman" w:hAnsi="Times New Roman"/>
          <w:sz w:val="24"/>
          <w:szCs w:val="24"/>
        </w:rPr>
        <w:t>(13.5%) and 11</w:t>
      </w:r>
      <w:r w:rsidR="001F0E9D">
        <w:rPr>
          <w:rFonts w:ascii="Times New Roman" w:hAnsi="Times New Roman"/>
          <w:sz w:val="24"/>
          <w:szCs w:val="24"/>
        </w:rPr>
        <w:t xml:space="preserve"> </w:t>
      </w:r>
      <w:r>
        <w:rPr>
          <w:rFonts w:ascii="Times New Roman" w:hAnsi="Times New Roman"/>
          <w:sz w:val="24"/>
          <w:szCs w:val="24"/>
        </w:rPr>
        <w:t xml:space="preserve">(4.2%) that selected </w:t>
      </w:r>
      <w:r w:rsidR="00BF7F80">
        <w:rPr>
          <w:rFonts w:ascii="Times New Roman" w:hAnsi="Times New Roman"/>
          <w:sz w:val="24"/>
          <w:szCs w:val="24"/>
        </w:rPr>
        <w:t>r</w:t>
      </w:r>
      <w:r>
        <w:rPr>
          <w:rFonts w:ascii="Times New Roman" w:hAnsi="Times New Roman"/>
          <w:sz w:val="24"/>
          <w:szCs w:val="24"/>
        </w:rPr>
        <w:t xml:space="preserve">ed and </w:t>
      </w:r>
      <w:r w:rsidR="0045624C">
        <w:rPr>
          <w:rFonts w:ascii="Times New Roman" w:hAnsi="Times New Roman"/>
          <w:sz w:val="24"/>
          <w:szCs w:val="24"/>
        </w:rPr>
        <w:t>b</w:t>
      </w:r>
      <w:r>
        <w:rPr>
          <w:rFonts w:ascii="Times New Roman" w:hAnsi="Times New Roman"/>
          <w:sz w:val="24"/>
          <w:szCs w:val="24"/>
        </w:rPr>
        <w:t>lack respectively presented the Yoruba language, their MT, as being dangerous or harmful to their acquisition of English language or as backward and crude in development.</w:t>
      </w:r>
    </w:p>
    <w:p w14:paraId="0CF6B27E" w14:textId="12956E3D"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Out of the 130 Chinese respondents, 91</w:t>
      </w:r>
      <w:r w:rsidR="00083C31">
        <w:rPr>
          <w:rFonts w:ascii="Times New Roman" w:hAnsi="Times New Roman"/>
          <w:sz w:val="24"/>
          <w:szCs w:val="24"/>
        </w:rPr>
        <w:t xml:space="preserve"> </w:t>
      </w:r>
      <w:r>
        <w:rPr>
          <w:rFonts w:ascii="Times New Roman" w:hAnsi="Times New Roman"/>
          <w:sz w:val="24"/>
          <w:szCs w:val="24"/>
        </w:rPr>
        <w:t xml:space="preserve">(35%) selected </w:t>
      </w:r>
      <w:r w:rsidR="0045624C">
        <w:rPr>
          <w:rFonts w:ascii="Times New Roman" w:hAnsi="Times New Roman"/>
          <w:sz w:val="24"/>
          <w:szCs w:val="24"/>
        </w:rPr>
        <w:t>r</w:t>
      </w:r>
      <w:r>
        <w:rPr>
          <w:rFonts w:ascii="Times New Roman" w:hAnsi="Times New Roman"/>
          <w:sz w:val="24"/>
          <w:szCs w:val="24"/>
        </w:rPr>
        <w:t xml:space="preserve">ed to symbolize </w:t>
      </w:r>
      <w:r w:rsidR="0045624C">
        <w:rPr>
          <w:rFonts w:ascii="Times New Roman" w:hAnsi="Times New Roman"/>
          <w:sz w:val="24"/>
          <w:szCs w:val="24"/>
        </w:rPr>
        <w:t>p</w:t>
      </w:r>
      <w:r>
        <w:rPr>
          <w:rFonts w:ascii="Times New Roman" w:hAnsi="Times New Roman"/>
          <w:sz w:val="24"/>
          <w:szCs w:val="24"/>
        </w:rPr>
        <w:t xml:space="preserve">ride, </w:t>
      </w:r>
      <w:r w:rsidR="0045624C">
        <w:rPr>
          <w:rFonts w:ascii="Times New Roman" w:hAnsi="Times New Roman"/>
          <w:sz w:val="24"/>
          <w:szCs w:val="24"/>
        </w:rPr>
        <w:t>l</w:t>
      </w:r>
      <w:r>
        <w:rPr>
          <w:rFonts w:ascii="Times New Roman" w:hAnsi="Times New Roman"/>
          <w:sz w:val="24"/>
          <w:szCs w:val="24"/>
        </w:rPr>
        <w:t xml:space="preserve">ove and </w:t>
      </w:r>
      <w:r w:rsidR="0045624C">
        <w:rPr>
          <w:rFonts w:ascii="Times New Roman" w:hAnsi="Times New Roman"/>
          <w:sz w:val="24"/>
          <w:szCs w:val="24"/>
        </w:rPr>
        <w:t>h</w:t>
      </w:r>
      <w:r>
        <w:rPr>
          <w:rFonts w:ascii="Times New Roman" w:hAnsi="Times New Roman"/>
          <w:sz w:val="24"/>
          <w:szCs w:val="24"/>
        </w:rPr>
        <w:t>appiness for their language and culture. 13</w:t>
      </w:r>
      <w:r w:rsidR="00083C31">
        <w:rPr>
          <w:rFonts w:ascii="Times New Roman" w:hAnsi="Times New Roman"/>
          <w:sz w:val="24"/>
          <w:szCs w:val="24"/>
        </w:rPr>
        <w:t xml:space="preserve"> </w:t>
      </w:r>
      <w:r>
        <w:rPr>
          <w:rFonts w:ascii="Times New Roman" w:hAnsi="Times New Roman"/>
          <w:sz w:val="24"/>
          <w:szCs w:val="24"/>
        </w:rPr>
        <w:t xml:space="preserve">(5.0%) respondents selected </w:t>
      </w:r>
      <w:r w:rsidR="0045624C">
        <w:rPr>
          <w:rFonts w:ascii="Times New Roman" w:hAnsi="Times New Roman"/>
          <w:sz w:val="24"/>
          <w:szCs w:val="24"/>
        </w:rPr>
        <w:t>w</w:t>
      </w:r>
      <w:r>
        <w:rPr>
          <w:rFonts w:ascii="Times New Roman" w:hAnsi="Times New Roman"/>
          <w:sz w:val="24"/>
          <w:szCs w:val="24"/>
        </w:rPr>
        <w:t xml:space="preserve">hite which symbolized </w:t>
      </w:r>
      <w:r w:rsidR="0045624C">
        <w:rPr>
          <w:rFonts w:ascii="Times New Roman" w:hAnsi="Times New Roman"/>
          <w:sz w:val="24"/>
          <w:szCs w:val="24"/>
        </w:rPr>
        <w:t>p</w:t>
      </w:r>
      <w:r>
        <w:rPr>
          <w:rFonts w:ascii="Times New Roman" w:hAnsi="Times New Roman"/>
          <w:sz w:val="24"/>
          <w:szCs w:val="24"/>
        </w:rPr>
        <w:t xml:space="preserve">eace and </w:t>
      </w:r>
      <w:r w:rsidR="0045624C">
        <w:rPr>
          <w:rFonts w:ascii="Times New Roman" w:hAnsi="Times New Roman"/>
          <w:sz w:val="24"/>
          <w:szCs w:val="24"/>
        </w:rPr>
        <w:lastRenderedPageBreak/>
        <w:t>p</w:t>
      </w:r>
      <w:r>
        <w:rPr>
          <w:rFonts w:ascii="Times New Roman" w:hAnsi="Times New Roman"/>
          <w:sz w:val="24"/>
          <w:szCs w:val="24"/>
        </w:rPr>
        <w:t>urity while 7</w:t>
      </w:r>
      <w:r w:rsidR="00083C31">
        <w:rPr>
          <w:rFonts w:ascii="Times New Roman" w:hAnsi="Times New Roman"/>
          <w:sz w:val="24"/>
          <w:szCs w:val="24"/>
        </w:rPr>
        <w:t xml:space="preserve"> </w:t>
      </w:r>
      <w:r>
        <w:rPr>
          <w:rFonts w:ascii="Times New Roman" w:hAnsi="Times New Roman"/>
          <w:sz w:val="24"/>
          <w:szCs w:val="24"/>
        </w:rPr>
        <w:t xml:space="preserve">(2.7%) respondents selected </w:t>
      </w:r>
      <w:r w:rsidR="0045624C">
        <w:rPr>
          <w:rFonts w:ascii="Times New Roman" w:hAnsi="Times New Roman"/>
          <w:sz w:val="24"/>
          <w:szCs w:val="24"/>
        </w:rPr>
        <w:t>y</w:t>
      </w:r>
      <w:r>
        <w:rPr>
          <w:rFonts w:ascii="Times New Roman" w:hAnsi="Times New Roman"/>
          <w:sz w:val="24"/>
          <w:szCs w:val="24"/>
        </w:rPr>
        <w:t xml:space="preserve">ellow and </w:t>
      </w:r>
      <w:r w:rsidR="0045624C">
        <w:rPr>
          <w:rFonts w:ascii="Times New Roman" w:hAnsi="Times New Roman"/>
          <w:sz w:val="24"/>
          <w:szCs w:val="24"/>
        </w:rPr>
        <w:t>b</w:t>
      </w:r>
      <w:r>
        <w:rPr>
          <w:rFonts w:ascii="Times New Roman" w:hAnsi="Times New Roman"/>
          <w:sz w:val="24"/>
          <w:szCs w:val="24"/>
        </w:rPr>
        <w:t xml:space="preserve">lue each to symbolize </w:t>
      </w:r>
      <w:r w:rsidR="0045624C">
        <w:rPr>
          <w:rFonts w:ascii="Times New Roman" w:hAnsi="Times New Roman"/>
          <w:sz w:val="24"/>
          <w:szCs w:val="24"/>
        </w:rPr>
        <w:t>b</w:t>
      </w:r>
      <w:r>
        <w:rPr>
          <w:rFonts w:ascii="Times New Roman" w:hAnsi="Times New Roman"/>
          <w:sz w:val="24"/>
          <w:szCs w:val="24"/>
        </w:rPr>
        <w:t xml:space="preserve">rightness and </w:t>
      </w:r>
      <w:r w:rsidR="0045624C">
        <w:rPr>
          <w:rFonts w:ascii="Times New Roman" w:hAnsi="Times New Roman"/>
          <w:sz w:val="24"/>
          <w:szCs w:val="24"/>
        </w:rPr>
        <w:t>c</w:t>
      </w:r>
      <w:r>
        <w:rPr>
          <w:rFonts w:ascii="Times New Roman" w:hAnsi="Times New Roman"/>
          <w:sz w:val="24"/>
          <w:szCs w:val="24"/>
        </w:rPr>
        <w:t>almness respectively. Purple and green were least significant and was selected by none and one person respectively. However, 4</w:t>
      </w:r>
      <w:r w:rsidR="00083C31">
        <w:rPr>
          <w:rFonts w:ascii="Times New Roman" w:hAnsi="Times New Roman"/>
          <w:sz w:val="24"/>
          <w:szCs w:val="24"/>
        </w:rPr>
        <w:t xml:space="preserve"> </w:t>
      </w:r>
      <w:r>
        <w:rPr>
          <w:rFonts w:ascii="Times New Roman" w:hAnsi="Times New Roman"/>
          <w:sz w:val="24"/>
          <w:szCs w:val="24"/>
        </w:rPr>
        <w:t>(1.5%) and 3</w:t>
      </w:r>
      <w:r w:rsidR="00083C31">
        <w:rPr>
          <w:rFonts w:ascii="Times New Roman" w:hAnsi="Times New Roman"/>
          <w:sz w:val="24"/>
          <w:szCs w:val="24"/>
        </w:rPr>
        <w:t xml:space="preserve"> </w:t>
      </w:r>
      <w:r>
        <w:rPr>
          <w:rFonts w:ascii="Times New Roman" w:hAnsi="Times New Roman"/>
          <w:sz w:val="24"/>
          <w:szCs w:val="24"/>
        </w:rPr>
        <w:t xml:space="preserve">(1.2%) Chinese-English bilinguals selected </w:t>
      </w:r>
      <w:r w:rsidR="0045624C">
        <w:rPr>
          <w:rFonts w:ascii="Times New Roman" w:hAnsi="Times New Roman"/>
          <w:sz w:val="24"/>
          <w:szCs w:val="24"/>
        </w:rPr>
        <w:t>g</w:t>
      </w:r>
      <w:r>
        <w:rPr>
          <w:rFonts w:ascii="Times New Roman" w:hAnsi="Times New Roman"/>
          <w:sz w:val="24"/>
          <w:szCs w:val="24"/>
        </w:rPr>
        <w:t xml:space="preserve">rey and </w:t>
      </w:r>
      <w:r w:rsidR="0045624C">
        <w:rPr>
          <w:rFonts w:ascii="Times New Roman" w:hAnsi="Times New Roman"/>
          <w:sz w:val="24"/>
          <w:szCs w:val="24"/>
        </w:rPr>
        <w:t>b</w:t>
      </w:r>
      <w:r>
        <w:rPr>
          <w:rFonts w:ascii="Times New Roman" w:hAnsi="Times New Roman"/>
          <w:sz w:val="24"/>
          <w:szCs w:val="24"/>
        </w:rPr>
        <w:t>lack to symbolize their Mother Tongue, Chinese, as being a hindrance to their learning English language or to their progress in life.</w:t>
      </w:r>
    </w:p>
    <w:p w14:paraId="6F2A3309" w14:textId="4753929C"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In total, 84 (65%) Nigerians selected colors that symbolize a positive attitude of </w:t>
      </w:r>
      <w:r w:rsidR="0045624C">
        <w:rPr>
          <w:rFonts w:ascii="Times New Roman" w:hAnsi="Times New Roman"/>
          <w:sz w:val="24"/>
          <w:szCs w:val="24"/>
        </w:rPr>
        <w:t>p</w:t>
      </w:r>
      <w:r>
        <w:rPr>
          <w:rFonts w:ascii="Times New Roman" w:hAnsi="Times New Roman"/>
          <w:sz w:val="24"/>
          <w:szCs w:val="24"/>
        </w:rPr>
        <w:t xml:space="preserve">eace, </w:t>
      </w:r>
      <w:r w:rsidR="0045624C">
        <w:rPr>
          <w:rFonts w:ascii="Times New Roman" w:hAnsi="Times New Roman"/>
          <w:sz w:val="24"/>
          <w:szCs w:val="24"/>
        </w:rPr>
        <w:t>f</w:t>
      </w:r>
      <w:r>
        <w:rPr>
          <w:rFonts w:ascii="Times New Roman" w:hAnsi="Times New Roman"/>
          <w:sz w:val="24"/>
          <w:szCs w:val="24"/>
        </w:rPr>
        <w:t xml:space="preserve">ertility, </w:t>
      </w:r>
      <w:r w:rsidR="0045624C">
        <w:rPr>
          <w:rFonts w:ascii="Times New Roman" w:hAnsi="Times New Roman"/>
          <w:sz w:val="24"/>
          <w:szCs w:val="24"/>
        </w:rPr>
        <w:t>c</w:t>
      </w:r>
      <w:r>
        <w:rPr>
          <w:rFonts w:ascii="Times New Roman" w:hAnsi="Times New Roman"/>
          <w:sz w:val="24"/>
          <w:szCs w:val="24"/>
        </w:rPr>
        <w:t xml:space="preserve">almness and </w:t>
      </w:r>
      <w:r w:rsidR="0045624C">
        <w:rPr>
          <w:rFonts w:ascii="Times New Roman" w:hAnsi="Times New Roman"/>
          <w:sz w:val="24"/>
          <w:szCs w:val="24"/>
        </w:rPr>
        <w:t>r</w:t>
      </w:r>
      <w:r>
        <w:rPr>
          <w:rFonts w:ascii="Times New Roman" w:hAnsi="Times New Roman"/>
          <w:sz w:val="24"/>
          <w:szCs w:val="24"/>
        </w:rPr>
        <w:t xml:space="preserve">oyalty while 46(35%) selected colors i.e. </w:t>
      </w:r>
      <w:r w:rsidR="0045624C">
        <w:rPr>
          <w:rFonts w:ascii="Times New Roman" w:hAnsi="Times New Roman"/>
          <w:sz w:val="24"/>
          <w:szCs w:val="24"/>
        </w:rPr>
        <w:t>r</w:t>
      </w:r>
      <w:r>
        <w:rPr>
          <w:rFonts w:ascii="Times New Roman" w:hAnsi="Times New Roman"/>
          <w:sz w:val="24"/>
          <w:szCs w:val="24"/>
        </w:rPr>
        <w:t xml:space="preserve">ed and </w:t>
      </w:r>
      <w:r w:rsidR="0045624C">
        <w:rPr>
          <w:rFonts w:ascii="Times New Roman" w:hAnsi="Times New Roman"/>
          <w:sz w:val="24"/>
          <w:szCs w:val="24"/>
        </w:rPr>
        <w:t>b</w:t>
      </w:r>
      <w:r>
        <w:rPr>
          <w:rFonts w:ascii="Times New Roman" w:hAnsi="Times New Roman"/>
          <w:sz w:val="24"/>
          <w:szCs w:val="24"/>
        </w:rPr>
        <w:t xml:space="preserve">lack that symbolize </w:t>
      </w:r>
      <w:r w:rsidR="0045624C">
        <w:rPr>
          <w:rFonts w:ascii="Times New Roman" w:hAnsi="Times New Roman"/>
          <w:sz w:val="24"/>
          <w:szCs w:val="24"/>
        </w:rPr>
        <w:t>d</w:t>
      </w:r>
      <w:r>
        <w:rPr>
          <w:rFonts w:ascii="Times New Roman" w:hAnsi="Times New Roman"/>
          <w:sz w:val="24"/>
          <w:szCs w:val="24"/>
        </w:rPr>
        <w:t xml:space="preserve">anger and backwardness. However, some selected the two colors to mean </w:t>
      </w:r>
      <w:r w:rsidR="0045624C">
        <w:rPr>
          <w:rFonts w:ascii="Times New Roman" w:hAnsi="Times New Roman"/>
          <w:sz w:val="24"/>
          <w:szCs w:val="24"/>
        </w:rPr>
        <w:t>b</w:t>
      </w:r>
      <w:r>
        <w:rPr>
          <w:rFonts w:ascii="Times New Roman" w:hAnsi="Times New Roman"/>
          <w:sz w:val="24"/>
          <w:szCs w:val="24"/>
        </w:rPr>
        <w:t xml:space="preserve">eauty and </w:t>
      </w:r>
      <w:r w:rsidR="0045624C">
        <w:rPr>
          <w:rFonts w:ascii="Times New Roman" w:hAnsi="Times New Roman"/>
          <w:sz w:val="24"/>
          <w:szCs w:val="24"/>
        </w:rPr>
        <w:t>l</w:t>
      </w:r>
      <w:r>
        <w:rPr>
          <w:rFonts w:ascii="Times New Roman" w:hAnsi="Times New Roman"/>
          <w:sz w:val="24"/>
          <w:szCs w:val="24"/>
        </w:rPr>
        <w:t xml:space="preserve">ove for their Language. On the flip side, 123(97%) of Chinese-English bilinguals selected colors that symbolized a positive attitude of </w:t>
      </w:r>
      <w:r w:rsidR="0045624C">
        <w:rPr>
          <w:rFonts w:ascii="Times New Roman" w:hAnsi="Times New Roman"/>
          <w:sz w:val="24"/>
          <w:szCs w:val="24"/>
        </w:rPr>
        <w:t>p</w:t>
      </w:r>
      <w:r>
        <w:rPr>
          <w:rFonts w:ascii="Times New Roman" w:hAnsi="Times New Roman"/>
          <w:sz w:val="24"/>
          <w:szCs w:val="24"/>
        </w:rPr>
        <w:t xml:space="preserve">ride, </w:t>
      </w:r>
      <w:r w:rsidR="0045624C">
        <w:rPr>
          <w:rFonts w:ascii="Times New Roman" w:hAnsi="Times New Roman"/>
          <w:sz w:val="24"/>
          <w:szCs w:val="24"/>
        </w:rPr>
        <w:t>d</w:t>
      </w:r>
      <w:r>
        <w:rPr>
          <w:rFonts w:ascii="Times New Roman" w:hAnsi="Times New Roman"/>
          <w:sz w:val="24"/>
          <w:szCs w:val="24"/>
        </w:rPr>
        <w:t xml:space="preserve">ignity, </w:t>
      </w:r>
      <w:r w:rsidR="0045624C">
        <w:rPr>
          <w:rFonts w:ascii="Times New Roman" w:hAnsi="Times New Roman"/>
          <w:sz w:val="24"/>
          <w:szCs w:val="24"/>
        </w:rPr>
        <w:t>b</w:t>
      </w:r>
      <w:r>
        <w:rPr>
          <w:rFonts w:ascii="Times New Roman" w:hAnsi="Times New Roman"/>
          <w:sz w:val="24"/>
          <w:szCs w:val="24"/>
        </w:rPr>
        <w:t xml:space="preserve">rightness, </w:t>
      </w:r>
      <w:r w:rsidR="0045624C">
        <w:rPr>
          <w:rFonts w:ascii="Times New Roman" w:hAnsi="Times New Roman"/>
          <w:sz w:val="24"/>
          <w:szCs w:val="24"/>
        </w:rPr>
        <w:t>c</w:t>
      </w:r>
      <w:r>
        <w:rPr>
          <w:rFonts w:ascii="Times New Roman" w:hAnsi="Times New Roman"/>
          <w:sz w:val="24"/>
          <w:szCs w:val="24"/>
        </w:rPr>
        <w:t xml:space="preserve">almness and </w:t>
      </w:r>
      <w:r w:rsidR="0045624C">
        <w:rPr>
          <w:rFonts w:ascii="Times New Roman" w:hAnsi="Times New Roman"/>
          <w:sz w:val="24"/>
          <w:szCs w:val="24"/>
        </w:rPr>
        <w:t>f</w:t>
      </w:r>
      <w:r>
        <w:rPr>
          <w:rFonts w:ascii="Times New Roman" w:hAnsi="Times New Roman"/>
          <w:sz w:val="24"/>
          <w:szCs w:val="24"/>
        </w:rPr>
        <w:t>ertility towards their native language. Only 7(3%) had a negative attitude of Chinese symbolizing uncertainty and backwardness. The discovery here is that a very negligible 3% of Chinese had a negative attitude towards their MT while a significant 35% of Yoruba-English bilinguals had a negative attitude towards their native language.</w:t>
      </w:r>
    </w:p>
    <w:tbl>
      <w:tblPr>
        <w:tblpPr w:leftFromText="180" w:rightFromText="180" w:vertAnchor="text" w:horzAnchor="margin" w:tblpXSpec="center" w:tblpY="-2429"/>
        <w:tblW w:w="11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630"/>
        <w:gridCol w:w="720"/>
        <w:gridCol w:w="900"/>
        <w:gridCol w:w="990"/>
        <w:gridCol w:w="720"/>
        <w:gridCol w:w="720"/>
        <w:gridCol w:w="810"/>
        <w:gridCol w:w="810"/>
        <w:gridCol w:w="810"/>
      </w:tblGrid>
      <w:tr w:rsidR="00D426D1" w:rsidRPr="00BD6690" w14:paraId="0B9646AC" w14:textId="77777777" w:rsidTr="00C70B57">
        <w:trPr>
          <w:cantSplit/>
        </w:trPr>
        <w:tc>
          <w:tcPr>
            <w:tcW w:w="11160" w:type="dxa"/>
            <w:gridSpan w:val="13"/>
            <w:tcBorders>
              <w:top w:val="nil"/>
              <w:left w:val="nil"/>
              <w:bottom w:val="nil"/>
              <w:right w:val="nil"/>
            </w:tcBorders>
            <w:shd w:val="clear" w:color="auto" w:fill="FFFFFF"/>
          </w:tcPr>
          <w:p w14:paraId="40F4C101" w14:textId="77777777" w:rsidR="00D426D1" w:rsidRPr="00BD6690" w:rsidRDefault="00D426D1" w:rsidP="00196624">
            <w:pPr>
              <w:autoSpaceDE w:val="0"/>
              <w:autoSpaceDN w:val="0"/>
              <w:adjustRightInd w:val="0"/>
              <w:spacing w:beforeLines="50" w:before="120" w:afterLines="50" w:after="120" w:line="240" w:lineRule="auto"/>
              <w:rPr>
                <w:rFonts w:ascii="Times New Roman" w:hAnsi="Times New Roman"/>
                <w:b/>
                <w:sz w:val="24"/>
                <w:szCs w:val="24"/>
              </w:rPr>
            </w:pPr>
            <w:r w:rsidRPr="00BD6690">
              <w:rPr>
                <w:rFonts w:ascii="Times New Roman" w:hAnsi="Times New Roman"/>
                <w:b/>
                <w:sz w:val="24"/>
                <w:szCs w:val="24"/>
              </w:rPr>
              <w:t>Table 3. Second Language Color</w:t>
            </w:r>
          </w:p>
          <w:p w14:paraId="089D0A06" w14:textId="77777777" w:rsidR="00D426D1" w:rsidRPr="00BD6690" w:rsidRDefault="00D426D1" w:rsidP="00196624">
            <w:pPr>
              <w:autoSpaceDE w:val="0"/>
              <w:autoSpaceDN w:val="0"/>
              <w:adjustRightInd w:val="0"/>
              <w:spacing w:beforeLines="50" w:before="120" w:afterLines="50" w:after="120" w:line="240" w:lineRule="auto"/>
              <w:ind w:right="60"/>
              <w:rPr>
                <w:rFonts w:ascii="Arial" w:hAnsi="Arial" w:cs="Arial"/>
                <w:color w:val="000000"/>
                <w:sz w:val="18"/>
                <w:szCs w:val="18"/>
              </w:rPr>
            </w:pPr>
          </w:p>
        </w:tc>
      </w:tr>
      <w:tr w:rsidR="00D426D1" w:rsidRPr="00BD6690" w14:paraId="5F57462B" w14:textId="77777777"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14:paraId="1F21FAB2"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p>
        </w:tc>
        <w:tc>
          <w:tcPr>
            <w:tcW w:w="7020" w:type="dxa"/>
            <w:gridSpan w:val="9"/>
            <w:tcBorders>
              <w:top w:val="single" w:sz="16" w:space="0" w:color="000000"/>
              <w:left w:val="single" w:sz="16" w:space="0" w:color="000000"/>
            </w:tcBorders>
            <w:shd w:val="clear" w:color="auto" w:fill="FFFFFF"/>
          </w:tcPr>
          <w:p w14:paraId="759B39B4" w14:textId="77777777" w:rsidR="00D426D1" w:rsidRPr="00BD6690" w:rsidRDefault="00D426D1" w:rsidP="00196624">
            <w:pPr>
              <w:tabs>
                <w:tab w:val="left" w:pos="915"/>
                <w:tab w:val="center" w:pos="3495"/>
              </w:tabs>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ab/>
            </w:r>
            <w:r w:rsidRPr="00BD6690">
              <w:rPr>
                <w:rFonts w:ascii="Arial" w:hAnsi="Arial" w:cs="Arial"/>
                <w:color w:val="000000"/>
                <w:sz w:val="18"/>
                <w:szCs w:val="18"/>
              </w:rPr>
              <w:tab/>
              <w:t>Color (2nd)</w:t>
            </w:r>
          </w:p>
        </w:tc>
        <w:tc>
          <w:tcPr>
            <w:tcW w:w="810" w:type="dxa"/>
            <w:vMerge w:val="restart"/>
            <w:tcBorders>
              <w:top w:val="single" w:sz="16" w:space="0" w:color="000000"/>
              <w:right w:val="single" w:sz="16" w:space="0" w:color="000000"/>
            </w:tcBorders>
            <w:shd w:val="clear" w:color="auto" w:fill="FFFFFF"/>
          </w:tcPr>
          <w:p w14:paraId="5F01B3B0"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14:paraId="0EEA8ADB" w14:textId="77777777"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14:paraId="322BDAA8"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14:paraId="57701C3F"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630" w:type="dxa"/>
            <w:tcBorders>
              <w:bottom w:val="single" w:sz="16" w:space="0" w:color="000000"/>
            </w:tcBorders>
            <w:shd w:val="clear" w:color="auto" w:fill="FFFFFF"/>
          </w:tcPr>
          <w:p w14:paraId="02F88617"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720" w:type="dxa"/>
            <w:tcBorders>
              <w:bottom w:val="single" w:sz="16" w:space="0" w:color="000000"/>
            </w:tcBorders>
            <w:shd w:val="clear" w:color="auto" w:fill="FFFFFF"/>
          </w:tcPr>
          <w:p w14:paraId="133CD4BC"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900" w:type="dxa"/>
            <w:tcBorders>
              <w:bottom w:val="single" w:sz="16" w:space="0" w:color="000000"/>
            </w:tcBorders>
            <w:shd w:val="clear" w:color="auto" w:fill="FFFFFF"/>
          </w:tcPr>
          <w:p w14:paraId="1FB9E281"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990" w:type="dxa"/>
            <w:tcBorders>
              <w:bottom w:val="single" w:sz="16" w:space="0" w:color="000000"/>
            </w:tcBorders>
            <w:shd w:val="clear" w:color="auto" w:fill="FFFFFF"/>
          </w:tcPr>
          <w:p w14:paraId="39332DCE"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14:paraId="7B71017D"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720" w:type="dxa"/>
            <w:tcBorders>
              <w:bottom w:val="single" w:sz="16" w:space="0" w:color="000000"/>
            </w:tcBorders>
            <w:shd w:val="clear" w:color="auto" w:fill="FFFFFF"/>
          </w:tcPr>
          <w:p w14:paraId="39530774"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810" w:type="dxa"/>
            <w:tcBorders>
              <w:bottom w:val="single" w:sz="16" w:space="0" w:color="000000"/>
            </w:tcBorders>
            <w:shd w:val="clear" w:color="auto" w:fill="FFFFFF"/>
          </w:tcPr>
          <w:p w14:paraId="4151CE79"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810" w:type="dxa"/>
            <w:tcBorders>
              <w:bottom w:val="single" w:sz="16" w:space="0" w:color="000000"/>
            </w:tcBorders>
            <w:shd w:val="clear" w:color="auto" w:fill="FFFFFF"/>
          </w:tcPr>
          <w:p w14:paraId="7A6ACFEB"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14:paraId="6EB77403"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14:paraId="641E8B55" w14:textId="77777777"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14:paraId="56DDBF76"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14:paraId="1406EBC9"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14:paraId="6890304B"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14:paraId="7E99A8E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42</w:t>
            </w:r>
          </w:p>
        </w:tc>
        <w:tc>
          <w:tcPr>
            <w:tcW w:w="630" w:type="dxa"/>
            <w:tcBorders>
              <w:top w:val="single" w:sz="16" w:space="0" w:color="000000"/>
              <w:bottom w:val="nil"/>
            </w:tcBorders>
            <w:shd w:val="clear" w:color="auto" w:fill="FFFFFF"/>
            <w:vAlign w:val="center"/>
          </w:tcPr>
          <w:p w14:paraId="67F08E5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14:paraId="129167E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900" w:type="dxa"/>
            <w:tcBorders>
              <w:top w:val="single" w:sz="16" w:space="0" w:color="000000"/>
              <w:bottom w:val="nil"/>
            </w:tcBorders>
            <w:shd w:val="clear" w:color="auto" w:fill="FFFFFF"/>
            <w:vAlign w:val="center"/>
          </w:tcPr>
          <w:p w14:paraId="6F4C3A5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30</w:t>
            </w:r>
          </w:p>
        </w:tc>
        <w:tc>
          <w:tcPr>
            <w:tcW w:w="990" w:type="dxa"/>
            <w:tcBorders>
              <w:top w:val="single" w:sz="16" w:space="0" w:color="000000"/>
              <w:bottom w:val="nil"/>
            </w:tcBorders>
            <w:shd w:val="clear" w:color="auto" w:fill="FFFFFF"/>
            <w:vAlign w:val="center"/>
          </w:tcPr>
          <w:p w14:paraId="5A6746F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14:paraId="471A5B7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14:paraId="5933564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36</w:t>
            </w:r>
          </w:p>
        </w:tc>
        <w:tc>
          <w:tcPr>
            <w:tcW w:w="810" w:type="dxa"/>
            <w:tcBorders>
              <w:top w:val="single" w:sz="16" w:space="0" w:color="000000"/>
              <w:bottom w:val="nil"/>
            </w:tcBorders>
            <w:shd w:val="clear" w:color="auto" w:fill="FFFFFF"/>
            <w:vAlign w:val="center"/>
          </w:tcPr>
          <w:p w14:paraId="21825D5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14:paraId="2143307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14:paraId="29A6191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128</w:t>
            </w:r>
          </w:p>
        </w:tc>
      </w:tr>
      <w:tr w:rsidR="00D426D1" w:rsidRPr="00BD6690" w14:paraId="17C886E0"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02D42A41"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14:paraId="2065A215"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7607C862"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61824" behindDoc="0" locked="0" layoutInCell="1" allowOverlap="1" wp14:anchorId="1B454EDC" wp14:editId="4CEF10FB">
                      <wp:simplePos x="0" y="0"/>
                      <wp:positionH relativeFrom="column">
                        <wp:posOffset>67945</wp:posOffset>
                      </wp:positionH>
                      <wp:positionV relativeFrom="paragraph">
                        <wp:posOffset>-19685</wp:posOffset>
                      </wp:positionV>
                      <wp:extent cx="5523230" cy="9525"/>
                      <wp:effectExtent l="0" t="0" r="1270" b="9525"/>
                      <wp:wrapNone/>
                      <wp:docPr id="1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52323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4D1D50" id="AutoShape 18" o:spid="_x0000_s1026" type="#_x0000_t32" style="position:absolute;margin-left:5.35pt;margin-top:-1.55pt;width:434.9pt;height:.7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239F56C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16.3%</w:t>
            </w:r>
          </w:p>
        </w:tc>
        <w:tc>
          <w:tcPr>
            <w:tcW w:w="630" w:type="dxa"/>
            <w:tcBorders>
              <w:top w:val="nil"/>
              <w:bottom w:val="nil"/>
            </w:tcBorders>
            <w:shd w:val="clear" w:color="auto" w:fill="FFFFFF"/>
            <w:vAlign w:val="center"/>
          </w:tcPr>
          <w:p w14:paraId="32D00D6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14:paraId="729EA90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3.9%</w:t>
            </w:r>
          </w:p>
        </w:tc>
        <w:tc>
          <w:tcPr>
            <w:tcW w:w="900" w:type="dxa"/>
            <w:tcBorders>
              <w:top w:val="nil"/>
              <w:bottom w:val="nil"/>
            </w:tcBorders>
            <w:shd w:val="clear" w:color="auto" w:fill="FFFFFF"/>
            <w:vAlign w:val="center"/>
          </w:tcPr>
          <w:p w14:paraId="4BC6E9A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11.7%</w:t>
            </w:r>
          </w:p>
        </w:tc>
        <w:tc>
          <w:tcPr>
            <w:tcW w:w="990" w:type="dxa"/>
            <w:tcBorders>
              <w:top w:val="nil"/>
              <w:bottom w:val="nil"/>
            </w:tcBorders>
            <w:shd w:val="clear" w:color="auto" w:fill="FFFFFF"/>
            <w:vAlign w:val="center"/>
          </w:tcPr>
          <w:p w14:paraId="28FF68F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14:paraId="696B954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0.8%</w:t>
            </w:r>
          </w:p>
        </w:tc>
        <w:tc>
          <w:tcPr>
            <w:tcW w:w="720" w:type="dxa"/>
            <w:tcBorders>
              <w:top w:val="nil"/>
              <w:bottom w:val="nil"/>
            </w:tcBorders>
            <w:shd w:val="clear" w:color="auto" w:fill="FFFFFF"/>
            <w:vAlign w:val="center"/>
          </w:tcPr>
          <w:p w14:paraId="5F4A25F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14.0%</w:t>
            </w:r>
          </w:p>
        </w:tc>
        <w:tc>
          <w:tcPr>
            <w:tcW w:w="810" w:type="dxa"/>
            <w:tcBorders>
              <w:top w:val="nil"/>
              <w:bottom w:val="nil"/>
            </w:tcBorders>
            <w:shd w:val="clear" w:color="auto" w:fill="FFFFFF"/>
            <w:vAlign w:val="center"/>
          </w:tcPr>
          <w:p w14:paraId="3AA08EB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tcBorders>
            <w:shd w:val="clear" w:color="auto" w:fill="FFFFFF"/>
            <w:vAlign w:val="center"/>
          </w:tcPr>
          <w:p w14:paraId="3C90C01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right w:val="single" w:sz="16" w:space="0" w:color="000000"/>
            </w:tcBorders>
            <w:shd w:val="clear" w:color="auto" w:fill="FFFFFF"/>
            <w:vAlign w:val="center"/>
          </w:tcPr>
          <w:p w14:paraId="18267E5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49.8%</w:t>
            </w:r>
          </w:p>
        </w:tc>
      </w:tr>
      <w:tr w:rsidR="00D426D1" w:rsidRPr="00BD6690" w14:paraId="34F70879"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02EB019E"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14:paraId="0CA9AD65"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60800" behindDoc="0" locked="0" layoutInCell="1" allowOverlap="1" wp14:anchorId="0A6B5CD5" wp14:editId="53D4FD38">
                      <wp:simplePos x="0" y="0"/>
                      <wp:positionH relativeFrom="column">
                        <wp:posOffset>47625</wp:posOffset>
                      </wp:positionH>
                      <wp:positionV relativeFrom="paragraph">
                        <wp:posOffset>-100330</wp:posOffset>
                      </wp:positionV>
                      <wp:extent cx="6232525" cy="9525"/>
                      <wp:effectExtent l="0" t="0" r="0" b="9525"/>
                      <wp:wrapNone/>
                      <wp:docPr id="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32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EE361F" id="AutoShape 17" o:spid="_x0000_s1026" type="#_x0000_t32" style="position:absolute;margin-left:3.75pt;margin-top:-7.9pt;width:490.75pt;height:.75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">
                      <o:lock v:ext="edit" shapetype="f"/>
                    </v:shape>
                  </w:pict>
                </mc:Fallback>
              </mc:AlternateContent>
            </w:r>
            <w:r w:rsidR="00D426D1"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14:paraId="646DA880"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14:paraId="5DE618C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21</w:t>
            </w:r>
          </w:p>
        </w:tc>
        <w:tc>
          <w:tcPr>
            <w:tcW w:w="630" w:type="dxa"/>
            <w:tcBorders>
              <w:top w:val="nil"/>
              <w:bottom w:val="nil"/>
            </w:tcBorders>
            <w:shd w:val="clear" w:color="auto" w:fill="FFFFFF"/>
            <w:vAlign w:val="center"/>
          </w:tcPr>
          <w:p w14:paraId="5F5220A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720" w:type="dxa"/>
            <w:tcBorders>
              <w:top w:val="nil"/>
              <w:bottom w:val="nil"/>
            </w:tcBorders>
            <w:shd w:val="clear" w:color="auto" w:fill="FFFFFF"/>
            <w:vAlign w:val="center"/>
          </w:tcPr>
          <w:p w14:paraId="6CBB78A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nil"/>
              <w:bottom w:val="nil"/>
            </w:tcBorders>
            <w:shd w:val="clear" w:color="auto" w:fill="FFFFFF"/>
            <w:vAlign w:val="center"/>
          </w:tcPr>
          <w:p w14:paraId="6F0FFA7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90" w:type="dxa"/>
            <w:tcBorders>
              <w:top w:val="nil"/>
              <w:bottom w:val="nil"/>
            </w:tcBorders>
            <w:shd w:val="clear" w:color="auto" w:fill="FFFFFF"/>
            <w:vAlign w:val="center"/>
          </w:tcPr>
          <w:p w14:paraId="5308FE8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19</w:t>
            </w:r>
          </w:p>
        </w:tc>
        <w:tc>
          <w:tcPr>
            <w:tcW w:w="720" w:type="dxa"/>
            <w:tcBorders>
              <w:top w:val="nil"/>
              <w:bottom w:val="nil"/>
            </w:tcBorders>
            <w:shd w:val="clear" w:color="auto" w:fill="FFFFFF"/>
            <w:vAlign w:val="center"/>
          </w:tcPr>
          <w:p w14:paraId="1B1848C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720" w:type="dxa"/>
            <w:tcBorders>
              <w:top w:val="nil"/>
              <w:bottom w:val="nil"/>
            </w:tcBorders>
            <w:shd w:val="clear" w:color="auto" w:fill="FFFFFF"/>
            <w:vAlign w:val="center"/>
          </w:tcPr>
          <w:p w14:paraId="0DAD7AD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43</w:t>
            </w:r>
          </w:p>
        </w:tc>
        <w:tc>
          <w:tcPr>
            <w:tcW w:w="810" w:type="dxa"/>
            <w:tcBorders>
              <w:top w:val="nil"/>
              <w:bottom w:val="nil"/>
            </w:tcBorders>
            <w:shd w:val="clear" w:color="auto" w:fill="FFFFFF"/>
            <w:vAlign w:val="center"/>
          </w:tcPr>
          <w:p w14:paraId="534EAE4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810" w:type="dxa"/>
            <w:tcBorders>
              <w:top w:val="nil"/>
              <w:bottom w:val="nil"/>
            </w:tcBorders>
            <w:shd w:val="clear" w:color="auto" w:fill="FFFFFF"/>
            <w:vAlign w:val="center"/>
          </w:tcPr>
          <w:p w14:paraId="0C808C4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right w:val="single" w:sz="16" w:space="0" w:color="000000"/>
            </w:tcBorders>
            <w:shd w:val="clear" w:color="auto" w:fill="FFFFFF"/>
            <w:vAlign w:val="center"/>
          </w:tcPr>
          <w:p w14:paraId="3A93036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129</w:t>
            </w:r>
          </w:p>
        </w:tc>
      </w:tr>
      <w:tr w:rsidR="00D426D1" w:rsidRPr="00BD6690" w14:paraId="0CD7F451"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040CD351"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14:paraId="7B13773B"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34D2041A"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4294967295" distB="4294967295" distL="114300" distR="114300" simplePos="0" relativeHeight="251662848" behindDoc="0" locked="0" layoutInCell="1" allowOverlap="1" wp14:anchorId="2D031CC5" wp14:editId="6B7379B8">
                      <wp:simplePos x="0" y="0"/>
                      <wp:positionH relativeFrom="column">
                        <wp:posOffset>67945</wp:posOffset>
                      </wp:positionH>
                      <wp:positionV relativeFrom="paragraph">
                        <wp:posOffset>-10161</wp:posOffset>
                      </wp:positionV>
                      <wp:extent cx="5527675" cy="0"/>
                      <wp:effectExtent l="0" t="0" r="0" b="0"/>
                      <wp:wrapNone/>
                      <wp:docPr id="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527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71CFAE" id="AutoShape 19" o:spid="_x0000_s1026" type="#_x0000_t32" style="position:absolute;margin-left:5.35pt;margin-top:-.8pt;width:435.25pt;height:0;flip:x;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77F4220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8.2%</w:t>
            </w:r>
          </w:p>
        </w:tc>
        <w:tc>
          <w:tcPr>
            <w:tcW w:w="630" w:type="dxa"/>
            <w:tcBorders>
              <w:top w:val="nil"/>
              <w:bottom w:val="nil"/>
            </w:tcBorders>
            <w:shd w:val="clear" w:color="auto" w:fill="FFFFFF"/>
            <w:vAlign w:val="center"/>
          </w:tcPr>
          <w:p w14:paraId="6BCB26E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2.3%</w:t>
            </w:r>
          </w:p>
        </w:tc>
        <w:tc>
          <w:tcPr>
            <w:tcW w:w="720" w:type="dxa"/>
            <w:tcBorders>
              <w:top w:val="nil"/>
              <w:bottom w:val="nil"/>
            </w:tcBorders>
            <w:shd w:val="clear" w:color="auto" w:fill="FFFFFF"/>
            <w:vAlign w:val="center"/>
          </w:tcPr>
          <w:p w14:paraId="6BA1935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5.1%</w:t>
            </w:r>
          </w:p>
        </w:tc>
        <w:tc>
          <w:tcPr>
            <w:tcW w:w="900" w:type="dxa"/>
            <w:tcBorders>
              <w:top w:val="nil"/>
              <w:bottom w:val="nil"/>
            </w:tcBorders>
            <w:shd w:val="clear" w:color="auto" w:fill="FFFFFF"/>
            <w:vAlign w:val="center"/>
          </w:tcPr>
          <w:p w14:paraId="309E357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990" w:type="dxa"/>
            <w:tcBorders>
              <w:top w:val="nil"/>
              <w:bottom w:val="nil"/>
            </w:tcBorders>
            <w:shd w:val="clear" w:color="auto" w:fill="FFFFFF"/>
            <w:vAlign w:val="center"/>
          </w:tcPr>
          <w:p w14:paraId="4075ED5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7.4%</w:t>
            </w:r>
          </w:p>
        </w:tc>
        <w:tc>
          <w:tcPr>
            <w:tcW w:w="720" w:type="dxa"/>
            <w:tcBorders>
              <w:top w:val="nil"/>
              <w:bottom w:val="nil"/>
            </w:tcBorders>
            <w:shd w:val="clear" w:color="auto" w:fill="FFFFFF"/>
            <w:vAlign w:val="center"/>
          </w:tcPr>
          <w:p w14:paraId="072038D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720" w:type="dxa"/>
            <w:tcBorders>
              <w:top w:val="nil"/>
              <w:bottom w:val="nil"/>
            </w:tcBorders>
            <w:shd w:val="clear" w:color="auto" w:fill="FFFFFF"/>
            <w:vAlign w:val="center"/>
          </w:tcPr>
          <w:p w14:paraId="7A3270F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16.7%</w:t>
            </w:r>
          </w:p>
        </w:tc>
        <w:tc>
          <w:tcPr>
            <w:tcW w:w="810" w:type="dxa"/>
            <w:tcBorders>
              <w:top w:val="nil"/>
              <w:bottom w:val="nil"/>
            </w:tcBorders>
            <w:shd w:val="clear" w:color="auto" w:fill="FFFFFF"/>
            <w:vAlign w:val="center"/>
          </w:tcPr>
          <w:p w14:paraId="7C23B4A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810" w:type="dxa"/>
            <w:tcBorders>
              <w:top w:val="nil"/>
              <w:bottom w:val="nil"/>
            </w:tcBorders>
            <w:shd w:val="clear" w:color="auto" w:fill="FFFFFF"/>
            <w:vAlign w:val="center"/>
          </w:tcPr>
          <w:p w14:paraId="00D6421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810" w:type="dxa"/>
            <w:tcBorders>
              <w:top w:val="nil"/>
              <w:bottom w:val="nil"/>
              <w:right w:val="single" w:sz="16" w:space="0" w:color="000000"/>
            </w:tcBorders>
            <w:shd w:val="clear" w:color="auto" w:fill="FFFFFF"/>
            <w:vAlign w:val="center"/>
          </w:tcPr>
          <w:p w14:paraId="36B3051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50.2%</w:t>
            </w:r>
          </w:p>
        </w:tc>
      </w:tr>
      <w:tr w:rsidR="00D426D1" w:rsidRPr="00BD6690" w14:paraId="0FD937F3" w14:textId="77777777"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14:paraId="53C49101"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0" distB="0" distL="114300" distR="114300" simplePos="0" relativeHeight="251659776" behindDoc="0" locked="0" layoutInCell="1" allowOverlap="1" wp14:anchorId="481184F9" wp14:editId="63272B7B">
                      <wp:simplePos x="0" y="0"/>
                      <wp:positionH relativeFrom="column">
                        <wp:posOffset>-28575</wp:posOffset>
                      </wp:positionH>
                      <wp:positionV relativeFrom="paragraph">
                        <wp:posOffset>-100330</wp:posOffset>
                      </wp:positionV>
                      <wp:extent cx="7096125" cy="9525"/>
                      <wp:effectExtent l="0" t="0" r="0" b="9525"/>
                      <wp:wrapNone/>
                      <wp:docPr id="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70961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22E39A" id="AutoShape 16" o:spid="_x0000_s1026" type="#_x0000_t32" style="position:absolute;margin-left:-2.25pt;margin-top:-7.9pt;width:558.75pt;height:.75pt;flip:x 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">
                      <o:lock v:ext="edit" shapetype="f"/>
                    </v:shape>
                  </w:pict>
                </mc:Fallback>
              </mc:AlternateContent>
            </w:r>
            <w:r w:rsidR="00D426D1" w:rsidRPr="00BD6690">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14:paraId="36FBBB71"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14:paraId="72529CF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63</w:t>
            </w:r>
          </w:p>
        </w:tc>
        <w:tc>
          <w:tcPr>
            <w:tcW w:w="630" w:type="dxa"/>
            <w:tcBorders>
              <w:top w:val="nil"/>
              <w:bottom w:val="nil"/>
            </w:tcBorders>
            <w:shd w:val="clear" w:color="auto" w:fill="FFFFFF"/>
            <w:vAlign w:val="center"/>
          </w:tcPr>
          <w:p w14:paraId="665D85E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720" w:type="dxa"/>
            <w:tcBorders>
              <w:top w:val="nil"/>
              <w:bottom w:val="nil"/>
            </w:tcBorders>
            <w:shd w:val="clear" w:color="auto" w:fill="FFFFFF"/>
            <w:vAlign w:val="center"/>
          </w:tcPr>
          <w:p w14:paraId="2CE7C43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900" w:type="dxa"/>
            <w:tcBorders>
              <w:top w:val="nil"/>
              <w:bottom w:val="nil"/>
            </w:tcBorders>
            <w:shd w:val="clear" w:color="auto" w:fill="FFFFFF"/>
            <w:vAlign w:val="center"/>
          </w:tcPr>
          <w:p w14:paraId="525F5A2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38</w:t>
            </w:r>
          </w:p>
        </w:tc>
        <w:tc>
          <w:tcPr>
            <w:tcW w:w="990" w:type="dxa"/>
            <w:tcBorders>
              <w:top w:val="nil"/>
              <w:bottom w:val="nil"/>
            </w:tcBorders>
            <w:shd w:val="clear" w:color="auto" w:fill="FFFFFF"/>
            <w:vAlign w:val="center"/>
          </w:tcPr>
          <w:p w14:paraId="2F11904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19</w:t>
            </w:r>
          </w:p>
        </w:tc>
        <w:tc>
          <w:tcPr>
            <w:tcW w:w="720" w:type="dxa"/>
            <w:tcBorders>
              <w:top w:val="nil"/>
              <w:bottom w:val="nil"/>
            </w:tcBorders>
            <w:shd w:val="clear" w:color="auto" w:fill="FFFFFF"/>
            <w:vAlign w:val="center"/>
          </w:tcPr>
          <w:p w14:paraId="4FD81FD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720" w:type="dxa"/>
            <w:tcBorders>
              <w:top w:val="nil"/>
              <w:bottom w:val="nil"/>
            </w:tcBorders>
            <w:shd w:val="clear" w:color="auto" w:fill="FFFFFF"/>
            <w:vAlign w:val="center"/>
          </w:tcPr>
          <w:p w14:paraId="314B9D6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79</w:t>
            </w:r>
          </w:p>
        </w:tc>
        <w:tc>
          <w:tcPr>
            <w:tcW w:w="810" w:type="dxa"/>
            <w:tcBorders>
              <w:top w:val="nil"/>
              <w:bottom w:val="nil"/>
            </w:tcBorders>
            <w:shd w:val="clear" w:color="auto" w:fill="FFFFFF"/>
            <w:vAlign w:val="center"/>
          </w:tcPr>
          <w:p w14:paraId="3CE3629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w:t>
            </w:r>
          </w:p>
        </w:tc>
        <w:tc>
          <w:tcPr>
            <w:tcW w:w="810" w:type="dxa"/>
            <w:tcBorders>
              <w:top w:val="nil"/>
              <w:bottom w:val="nil"/>
            </w:tcBorders>
            <w:shd w:val="clear" w:color="auto" w:fill="FFFFFF"/>
            <w:vAlign w:val="center"/>
          </w:tcPr>
          <w:p w14:paraId="7A4B498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14:paraId="35516D4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257</w:t>
            </w:r>
          </w:p>
        </w:tc>
      </w:tr>
      <w:tr w:rsidR="00D426D1" w:rsidRPr="00BD6690" w14:paraId="0236BB85" w14:textId="77777777"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14:paraId="1B4416E2"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14:paraId="1E2E9905" w14:textId="77777777" w:rsidR="00D426D1" w:rsidRPr="00BD6690" w:rsidRDefault="00726227" w:rsidP="00196624">
            <w:pPr>
              <w:autoSpaceDE w:val="0"/>
              <w:autoSpaceDN w:val="0"/>
              <w:adjustRightInd w:val="0"/>
              <w:spacing w:beforeLines="50" w:before="120" w:afterLines="50" w:after="120" w:line="240" w:lineRule="auto"/>
              <w:ind w:right="60"/>
              <w:rPr>
                <w:rFonts w:ascii="Arial" w:hAnsi="Arial" w:cs="Arial"/>
                <w:b/>
                <w:color w:val="000000"/>
                <w:sz w:val="18"/>
                <w:szCs w:val="18"/>
              </w:rPr>
            </w:pPr>
            <w:r>
              <w:rPr>
                <w:noProof/>
              </w:rPr>
              <mc:AlternateContent>
                <mc:Choice Requires="wps">
                  <w:drawing>
                    <wp:anchor distT="0" distB="0" distL="114300" distR="114300" simplePos="0" relativeHeight="251663872" behindDoc="0" locked="0" layoutInCell="1" allowOverlap="1" wp14:anchorId="70BC0484" wp14:editId="78063F4D">
                      <wp:simplePos x="0" y="0"/>
                      <wp:positionH relativeFrom="column">
                        <wp:posOffset>67945</wp:posOffset>
                      </wp:positionH>
                      <wp:positionV relativeFrom="paragraph">
                        <wp:posOffset>-22860</wp:posOffset>
                      </wp:positionV>
                      <wp:extent cx="5527675" cy="28575"/>
                      <wp:effectExtent l="0" t="0" r="0" b="9525"/>
                      <wp:wrapNone/>
                      <wp:docPr id="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5276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07331" id="AutoShape 20" o:spid="_x0000_s1026" type="#_x0000_t32" style="position:absolute;margin-left:5.35pt;margin-top:-1.8pt;width:435.25pt;height:2.25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">
                      <o:lock v:ext="edit" shapetype="f"/>
                    </v:shape>
                  </w:pict>
                </mc:Fallback>
              </mc:AlternateContent>
            </w:r>
            <w:r w:rsidR="00D426D1" w:rsidRPr="00BD6690">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14:paraId="7CB1222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24.5%</w:t>
            </w:r>
          </w:p>
        </w:tc>
        <w:tc>
          <w:tcPr>
            <w:tcW w:w="630" w:type="dxa"/>
            <w:tcBorders>
              <w:top w:val="nil"/>
              <w:bottom w:val="single" w:sz="16" w:space="0" w:color="000000"/>
            </w:tcBorders>
            <w:shd w:val="clear" w:color="auto" w:fill="FFFFFF"/>
            <w:vAlign w:val="center"/>
          </w:tcPr>
          <w:p w14:paraId="3277AA4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720" w:type="dxa"/>
            <w:tcBorders>
              <w:top w:val="nil"/>
              <w:bottom w:val="single" w:sz="16" w:space="0" w:color="000000"/>
            </w:tcBorders>
            <w:shd w:val="clear" w:color="auto" w:fill="FFFFFF"/>
            <w:vAlign w:val="center"/>
          </w:tcPr>
          <w:p w14:paraId="33CD231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8.9%</w:t>
            </w:r>
          </w:p>
        </w:tc>
        <w:tc>
          <w:tcPr>
            <w:tcW w:w="900" w:type="dxa"/>
            <w:tcBorders>
              <w:top w:val="nil"/>
              <w:bottom w:val="single" w:sz="16" w:space="0" w:color="000000"/>
            </w:tcBorders>
            <w:shd w:val="clear" w:color="auto" w:fill="FFFFFF"/>
            <w:vAlign w:val="center"/>
          </w:tcPr>
          <w:p w14:paraId="5FC8F2E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14.8%</w:t>
            </w:r>
          </w:p>
        </w:tc>
        <w:tc>
          <w:tcPr>
            <w:tcW w:w="990" w:type="dxa"/>
            <w:tcBorders>
              <w:top w:val="nil"/>
              <w:bottom w:val="single" w:sz="16" w:space="0" w:color="000000"/>
            </w:tcBorders>
            <w:shd w:val="clear" w:color="auto" w:fill="FFFFFF"/>
            <w:vAlign w:val="center"/>
          </w:tcPr>
          <w:p w14:paraId="3B1AE92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7.4%</w:t>
            </w:r>
          </w:p>
        </w:tc>
        <w:tc>
          <w:tcPr>
            <w:tcW w:w="720" w:type="dxa"/>
            <w:tcBorders>
              <w:top w:val="nil"/>
              <w:bottom w:val="single" w:sz="16" w:space="0" w:color="000000"/>
            </w:tcBorders>
            <w:shd w:val="clear" w:color="auto" w:fill="FFFFFF"/>
            <w:vAlign w:val="center"/>
          </w:tcPr>
          <w:p w14:paraId="126E315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3.9%</w:t>
            </w:r>
          </w:p>
        </w:tc>
        <w:tc>
          <w:tcPr>
            <w:tcW w:w="720" w:type="dxa"/>
            <w:tcBorders>
              <w:top w:val="nil"/>
              <w:bottom w:val="single" w:sz="16" w:space="0" w:color="000000"/>
            </w:tcBorders>
            <w:shd w:val="clear" w:color="auto" w:fill="FFFFFF"/>
            <w:vAlign w:val="center"/>
          </w:tcPr>
          <w:p w14:paraId="2868943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30.7%</w:t>
            </w:r>
          </w:p>
        </w:tc>
        <w:tc>
          <w:tcPr>
            <w:tcW w:w="810" w:type="dxa"/>
            <w:tcBorders>
              <w:top w:val="nil"/>
              <w:bottom w:val="single" w:sz="16" w:space="0" w:color="000000"/>
            </w:tcBorders>
            <w:shd w:val="clear" w:color="auto" w:fill="FFFFFF"/>
            <w:vAlign w:val="center"/>
          </w:tcPr>
          <w:p w14:paraId="4F0B4DE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4.7%</w:t>
            </w:r>
          </w:p>
        </w:tc>
        <w:tc>
          <w:tcPr>
            <w:tcW w:w="810" w:type="dxa"/>
            <w:tcBorders>
              <w:top w:val="nil"/>
              <w:bottom w:val="single" w:sz="16" w:space="0" w:color="000000"/>
            </w:tcBorders>
            <w:shd w:val="clear" w:color="auto" w:fill="FFFFFF"/>
            <w:vAlign w:val="center"/>
          </w:tcPr>
          <w:p w14:paraId="7FB9B3F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2.7%</w:t>
            </w:r>
          </w:p>
        </w:tc>
        <w:tc>
          <w:tcPr>
            <w:tcW w:w="810" w:type="dxa"/>
            <w:tcBorders>
              <w:top w:val="nil"/>
              <w:bottom w:val="single" w:sz="16" w:space="0" w:color="000000"/>
              <w:right w:val="single" w:sz="16" w:space="0" w:color="000000"/>
            </w:tcBorders>
            <w:shd w:val="clear" w:color="auto" w:fill="FFFFFF"/>
            <w:vAlign w:val="center"/>
          </w:tcPr>
          <w:p w14:paraId="123B263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14:paraId="08C48A21" w14:textId="6E601DB9"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 total of 257 respondents filled this part of the survey with 128 being Yoruba-English </w:t>
      </w:r>
      <w:r w:rsidR="0045624C">
        <w:rPr>
          <w:rFonts w:ascii="Times New Roman" w:hAnsi="Times New Roman"/>
          <w:sz w:val="24"/>
          <w:szCs w:val="24"/>
        </w:rPr>
        <w:t>b</w:t>
      </w:r>
      <w:r>
        <w:rPr>
          <w:rFonts w:ascii="Times New Roman" w:hAnsi="Times New Roman"/>
          <w:sz w:val="24"/>
          <w:szCs w:val="24"/>
        </w:rPr>
        <w:t xml:space="preserve">ilinguals and 129 being Chinese-English bilinguals. This section measured their attitude to English language which is arguably a second language to both parties. Out of 128 (100%) Nigerians, 88(69%) had positive attitude towards English expressing it to symbolize </w:t>
      </w:r>
      <w:r w:rsidR="0045624C">
        <w:rPr>
          <w:rFonts w:ascii="Times New Roman" w:hAnsi="Times New Roman"/>
          <w:sz w:val="24"/>
          <w:szCs w:val="24"/>
        </w:rPr>
        <w:t>p</w:t>
      </w:r>
      <w:r w:rsidR="00083C31">
        <w:rPr>
          <w:rFonts w:ascii="Times New Roman" w:hAnsi="Times New Roman"/>
          <w:sz w:val="24"/>
          <w:szCs w:val="24"/>
        </w:rPr>
        <w:t>restige</w:t>
      </w:r>
      <w:r w:rsidRPr="00083C31">
        <w:rPr>
          <w:rFonts w:ascii="Times New Roman" w:hAnsi="Times New Roman"/>
          <w:sz w:val="24"/>
          <w:szCs w:val="24"/>
        </w:rPr>
        <w:t>,</w:t>
      </w:r>
      <w:r>
        <w:rPr>
          <w:rFonts w:ascii="Times New Roman" w:hAnsi="Times New Roman"/>
          <w:sz w:val="24"/>
          <w:szCs w:val="24"/>
        </w:rPr>
        <w:t xml:space="preserve"> </w:t>
      </w:r>
      <w:r w:rsidR="0045624C">
        <w:rPr>
          <w:rFonts w:ascii="Times New Roman" w:hAnsi="Times New Roman"/>
          <w:sz w:val="24"/>
          <w:szCs w:val="24"/>
        </w:rPr>
        <w:t>d</w:t>
      </w:r>
      <w:r>
        <w:rPr>
          <w:rFonts w:ascii="Times New Roman" w:hAnsi="Times New Roman"/>
          <w:sz w:val="24"/>
          <w:szCs w:val="24"/>
        </w:rPr>
        <w:t xml:space="preserve">ignity, </w:t>
      </w:r>
      <w:r w:rsidR="0045624C">
        <w:rPr>
          <w:rFonts w:ascii="Times New Roman" w:hAnsi="Times New Roman"/>
          <w:sz w:val="24"/>
          <w:szCs w:val="24"/>
        </w:rPr>
        <w:t>c</w:t>
      </w:r>
      <w:r>
        <w:rPr>
          <w:rFonts w:ascii="Times New Roman" w:hAnsi="Times New Roman"/>
          <w:sz w:val="24"/>
          <w:szCs w:val="24"/>
        </w:rPr>
        <w:t xml:space="preserve">almness, </w:t>
      </w:r>
      <w:r w:rsidR="0045624C">
        <w:rPr>
          <w:rFonts w:ascii="Times New Roman" w:hAnsi="Times New Roman"/>
          <w:sz w:val="24"/>
          <w:szCs w:val="24"/>
        </w:rPr>
        <w:t>f</w:t>
      </w:r>
      <w:r>
        <w:rPr>
          <w:rFonts w:ascii="Times New Roman" w:hAnsi="Times New Roman"/>
          <w:sz w:val="24"/>
          <w:szCs w:val="24"/>
        </w:rPr>
        <w:t xml:space="preserve">ertility and </w:t>
      </w:r>
      <w:r w:rsidR="0045624C">
        <w:rPr>
          <w:rFonts w:ascii="Times New Roman" w:hAnsi="Times New Roman"/>
          <w:sz w:val="24"/>
          <w:szCs w:val="24"/>
        </w:rPr>
        <w:t>r</w:t>
      </w:r>
      <w:r>
        <w:rPr>
          <w:rFonts w:ascii="Times New Roman" w:hAnsi="Times New Roman"/>
          <w:sz w:val="24"/>
          <w:szCs w:val="24"/>
        </w:rPr>
        <w:t xml:space="preserve">oyalty while 40(31%) selected colors i.e. </w:t>
      </w:r>
      <w:r w:rsidR="0045624C">
        <w:rPr>
          <w:rFonts w:ascii="Times New Roman" w:hAnsi="Times New Roman"/>
          <w:sz w:val="24"/>
          <w:szCs w:val="24"/>
        </w:rPr>
        <w:t>b</w:t>
      </w:r>
      <w:r>
        <w:rPr>
          <w:rFonts w:ascii="Times New Roman" w:hAnsi="Times New Roman"/>
          <w:sz w:val="24"/>
          <w:szCs w:val="24"/>
        </w:rPr>
        <w:t xml:space="preserve">lack and </w:t>
      </w:r>
      <w:r w:rsidR="0045624C">
        <w:rPr>
          <w:rFonts w:ascii="Times New Roman" w:hAnsi="Times New Roman"/>
          <w:sz w:val="24"/>
          <w:szCs w:val="24"/>
        </w:rPr>
        <w:t>r</w:t>
      </w:r>
      <w:r>
        <w:rPr>
          <w:rFonts w:ascii="Times New Roman" w:hAnsi="Times New Roman"/>
          <w:sz w:val="24"/>
          <w:szCs w:val="24"/>
        </w:rPr>
        <w:t xml:space="preserve">ed that symbolized the evil and danger English portends to the survival of their native language. However, a few who selected color </w:t>
      </w:r>
      <w:r w:rsidR="0045624C">
        <w:rPr>
          <w:rFonts w:ascii="Times New Roman" w:hAnsi="Times New Roman"/>
          <w:sz w:val="24"/>
          <w:szCs w:val="24"/>
        </w:rPr>
        <w:t>r</w:t>
      </w:r>
      <w:r>
        <w:rPr>
          <w:rFonts w:ascii="Times New Roman" w:hAnsi="Times New Roman"/>
          <w:sz w:val="24"/>
          <w:szCs w:val="24"/>
        </w:rPr>
        <w:t xml:space="preserve">ed meant it to mean their </w:t>
      </w:r>
      <w:r w:rsidR="0045624C">
        <w:rPr>
          <w:rFonts w:ascii="Times New Roman" w:hAnsi="Times New Roman"/>
          <w:sz w:val="24"/>
          <w:szCs w:val="24"/>
        </w:rPr>
        <w:t>l</w:t>
      </w:r>
      <w:r>
        <w:rPr>
          <w:rFonts w:ascii="Times New Roman" w:hAnsi="Times New Roman"/>
          <w:sz w:val="24"/>
          <w:szCs w:val="24"/>
        </w:rPr>
        <w:t xml:space="preserve">ove for English rather than a feeling of danger. </w:t>
      </w:r>
    </w:p>
    <w:p w14:paraId="76F3B8ED" w14:textId="44B3CD44" w:rsidR="00D426D1" w:rsidRPr="0055603E"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Out of 129 Chinese-English </w:t>
      </w:r>
      <w:r w:rsidR="0045624C">
        <w:rPr>
          <w:rFonts w:ascii="Times New Roman" w:hAnsi="Times New Roman"/>
          <w:sz w:val="24"/>
          <w:szCs w:val="24"/>
        </w:rPr>
        <w:t>b</w:t>
      </w:r>
      <w:r>
        <w:rPr>
          <w:rFonts w:ascii="Times New Roman" w:hAnsi="Times New Roman"/>
          <w:sz w:val="24"/>
          <w:szCs w:val="24"/>
        </w:rPr>
        <w:t xml:space="preserve">ilinguals, 102(79%) selected colors that symbolized </w:t>
      </w:r>
      <w:r w:rsidR="0045624C">
        <w:rPr>
          <w:rFonts w:ascii="Times New Roman" w:hAnsi="Times New Roman"/>
          <w:sz w:val="24"/>
          <w:szCs w:val="24"/>
        </w:rPr>
        <w:t>d</w:t>
      </w:r>
      <w:r>
        <w:rPr>
          <w:rFonts w:ascii="Times New Roman" w:hAnsi="Times New Roman"/>
          <w:sz w:val="24"/>
          <w:szCs w:val="24"/>
        </w:rPr>
        <w:t xml:space="preserve">ignity, </w:t>
      </w:r>
      <w:r w:rsidR="0045624C">
        <w:rPr>
          <w:rFonts w:ascii="Times New Roman" w:hAnsi="Times New Roman"/>
          <w:sz w:val="24"/>
          <w:szCs w:val="24"/>
        </w:rPr>
        <w:t>w</w:t>
      </w:r>
      <w:r>
        <w:rPr>
          <w:rFonts w:ascii="Times New Roman" w:hAnsi="Times New Roman"/>
          <w:sz w:val="24"/>
          <w:szCs w:val="24"/>
        </w:rPr>
        <w:t xml:space="preserve">armness, </w:t>
      </w:r>
      <w:r w:rsidR="0045624C">
        <w:rPr>
          <w:rFonts w:ascii="Times New Roman" w:hAnsi="Times New Roman"/>
          <w:sz w:val="24"/>
          <w:szCs w:val="24"/>
        </w:rPr>
        <w:t>f</w:t>
      </w:r>
      <w:r>
        <w:rPr>
          <w:rFonts w:ascii="Times New Roman" w:hAnsi="Times New Roman"/>
          <w:sz w:val="24"/>
          <w:szCs w:val="24"/>
        </w:rPr>
        <w:t xml:space="preserve">ertility and </w:t>
      </w:r>
      <w:r w:rsidR="0045624C">
        <w:rPr>
          <w:rFonts w:ascii="Times New Roman" w:hAnsi="Times New Roman"/>
          <w:sz w:val="24"/>
          <w:szCs w:val="24"/>
        </w:rPr>
        <w:t>g</w:t>
      </w:r>
      <w:r>
        <w:rPr>
          <w:rFonts w:ascii="Times New Roman" w:hAnsi="Times New Roman"/>
          <w:sz w:val="24"/>
          <w:szCs w:val="24"/>
        </w:rPr>
        <w:t xml:space="preserve">lobalization for English while 27(21%) regarded it as evil, uncertain and dangerous. Worthy of being noted is that when it came to the second language, English, Chinese-English bilinguals switched from their meaning of </w:t>
      </w:r>
      <w:r w:rsidR="0045624C">
        <w:rPr>
          <w:rFonts w:ascii="Times New Roman" w:hAnsi="Times New Roman"/>
          <w:sz w:val="24"/>
          <w:szCs w:val="24"/>
        </w:rPr>
        <w:t>r</w:t>
      </w:r>
      <w:r>
        <w:rPr>
          <w:rFonts w:ascii="Times New Roman" w:hAnsi="Times New Roman"/>
          <w:sz w:val="24"/>
          <w:szCs w:val="24"/>
        </w:rPr>
        <w:t xml:space="preserve">ed for the MT which was pride and used </w:t>
      </w:r>
      <w:r w:rsidR="0045624C">
        <w:rPr>
          <w:rFonts w:ascii="Times New Roman" w:hAnsi="Times New Roman"/>
          <w:sz w:val="24"/>
          <w:szCs w:val="24"/>
        </w:rPr>
        <w:t>r</w:t>
      </w:r>
      <w:r>
        <w:rPr>
          <w:rFonts w:ascii="Times New Roman" w:hAnsi="Times New Roman"/>
          <w:sz w:val="24"/>
          <w:szCs w:val="24"/>
        </w:rPr>
        <w:t xml:space="preserve">ed to rather symbolize danger. While it is the case among both bilinguals that they had positive </w:t>
      </w:r>
      <w:r>
        <w:rPr>
          <w:rFonts w:ascii="Times New Roman" w:hAnsi="Times New Roman"/>
          <w:sz w:val="24"/>
          <w:szCs w:val="24"/>
        </w:rPr>
        <w:lastRenderedPageBreak/>
        <w:t>attitude towards English, Chinese-English bilinguals still had more resistance to English than Yoruba-English bilinguals showed.</w:t>
      </w:r>
    </w:p>
    <w:p w14:paraId="7F0A61FB"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Table 4. Third Language Color</w:t>
      </w:r>
    </w:p>
    <w:tbl>
      <w:tblPr>
        <w:tblpPr w:leftFromText="180" w:rightFromText="180" w:vertAnchor="text" w:horzAnchor="margin" w:tblpXSpec="center" w:tblpY="316"/>
        <w:tblW w:w="10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720"/>
        <w:gridCol w:w="810"/>
        <w:gridCol w:w="810"/>
        <w:gridCol w:w="720"/>
        <w:gridCol w:w="880"/>
        <w:gridCol w:w="720"/>
        <w:gridCol w:w="720"/>
        <w:gridCol w:w="810"/>
      </w:tblGrid>
      <w:tr w:rsidR="00D426D1" w:rsidRPr="00BD6690" w14:paraId="024E95B5" w14:textId="77777777" w:rsidTr="00A12925">
        <w:trPr>
          <w:cantSplit/>
        </w:trPr>
        <w:tc>
          <w:tcPr>
            <w:tcW w:w="3330" w:type="dxa"/>
            <w:gridSpan w:val="3"/>
            <w:vMerge w:val="restart"/>
            <w:tcBorders>
              <w:top w:val="single" w:sz="16" w:space="0" w:color="000000"/>
              <w:left w:val="single" w:sz="16" w:space="0" w:color="000000"/>
              <w:bottom w:val="nil"/>
              <w:right w:val="nil"/>
            </w:tcBorders>
            <w:shd w:val="clear" w:color="auto" w:fill="FFFFFF"/>
          </w:tcPr>
          <w:p w14:paraId="4C5DE1E1" w14:textId="77777777" w:rsidR="00D426D1" w:rsidRPr="00BD6690" w:rsidRDefault="00D426D1" w:rsidP="00AF0BA6">
            <w:pPr>
              <w:spacing w:line="240" w:lineRule="auto"/>
              <w:rPr>
                <w:rFonts w:ascii="Arial" w:hAnsi="Arial" w:cs="Arial"/>
                <w:color w:val="000000"/>
                <w:sz w:val="18"/>
                <w:szCs w:val="18"/>
              </w:rPr>
            </w:pPr>
          </w:p>
        </w:tc>
        <w:tc>
          <w:tcPr>
            <w:tcW w:w="6820" w:type="dxa"/>
            <w:gridSpan w:val="9"/>
            <w:tcBorders>
              <w:top w:val="single" w:sz="16" w:space="0" w:color="000000"/>
              <w:left w:val="single" w:sz="16" w:space="0" w:color="000000"/>
            </w:tcBorders>
            <w:shd w:val="clear" w:color="auto" w:fill="FFFFFF"/>
          </w:tcPr>
          <w:p w14:paraId="48AF4CC7"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Color (3rd)</w:t>
            </w:r>
          </w:p>
        </w:tc>
        <w:tc>
          <w:tcPr>
            <w:tcW w:w="810" w:type="dxa"/>
            <w:vMerge w:val="restart"/>
            <w:tcBorders>
              <w:top w:val="single" w:sz="16" w:space="0" w:color="000000"/>
              <w:right w:val="single" w:sz="16" w:space="0" w:color="000000"/>
            </w:tcBorders>
            <w:shd w:val="clear" w:color="auto" w:fill="FFFFFF"/>
          </w:tcPr>
          <w:p w14:paraId="0821588C"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b/>
                <w:color w:val="000000"/>
                <w:sz w:val="18"/>
                <w:szCs w:val="18"/>
              </w:rPr>
            </w:pPr>
            <w:r w:rsidRPr="00BD6690">
              <w:rPr>
                <w:rFonts w:ascii="Arial" w:hAnsi="Arial" w:cs="Arial"/>
                <w:b/>
                <w:color w:val="000000"/>
                <w:sz w:val="18"/>
                <w:szCs w:val="18"/>
              </w:rPr>
              <w:t>Total</w:t>
            </w:r>
          </w:p>
        </w:tc>
      </w:tr>
      <w:tr w:rsidR="00D426D1" w:rsidRPr="00BD6690" w14:paraId="149F5B7A" w14:textId="77777777" w:rsidTr="00A12925">
        <w:trPr>
          <w:cantSplit/>
        </w:trPr>
        <w:tc>
          <w:tcPr>
            <w:tcW w:w="3330" w:type="dxa"/>
            <w:gridSpan w:val="3"/>
            <w:vMerge/>
            <w:tcBorders>
              <w:top w:val="single" w:sz="16" w:space="0" w:color="000000"/>
              <w:left w:val="single" w:sz="16" w:space="0" w:color="000000"/>
              <w:bottom w:val="nil"/>
              <w:right w:val="nil"/>
            </w:tcBorders>
            <w:shd w:val="clear" w:color="auto" w:fill="FFFFFF"/>
          </w:tcPr>
          <w:p w14:paraId="1BD1DFA0"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14:paraId="5D7CD0AC"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720" w:type="dxa"/>
            <w:tcBorders>
              <w:bottom w:val="single" w:sz="16" w:space="0" w:color="000000"/>
            </w:tcBorders>
            <w:shd w:val="clear" w:color="auto" w:fill="FFFFFF"/>
          </w:tcPr>
          <w:p w14:paraId="185E3545"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720" w:type="dxa"/>
            <w:tcBorders>
              <w:bottom w:val="single" w:sz="16" w:space="0" w:color="000000"/>
            </w:tcBorders>
            <w:shd w:val="clear" w:color="auto" w:fill="FFFFFF"/>
          </w:tcPr>
          <w:p w14:paraId="712E6949"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810" w:type="dxa"/>
            <w:tcBorders>
              <w:bottom w:val="single" w:sz="16" w:space="0" w:color="000000"/>
            </w:tcBorders>
            <w:shd w:val="clear" w:color="auto" w:fill="FFFFFF"/>
          </w:tcPr>
          <w:p w14:paraId="1C8A11D4"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810" w:type="dxa"/>
            <w:tcBorders>
              <w:bottom w:val="single" w:sz="16" w:space="0" w:color="000000"/>
            </w:tcBorders>
            <w:shd w:val="clear" w:color="auto" w:fill="FFFFFF"/>
          </w:tcPr>
          <w:p w14:paraId="77DAB2AD"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14:paraId="1C058DB0"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880" w:type="dxa"/>
            <w:tcBorders>
              <w:bottom w:val="single" w:sz="16" w:space="0" w:color="000000"/>
            </w:tcBorders>
            <w:shd w:val="clear" w:color="auto" w:fill="FFFFFF"/>
          </w:tcPr>
          <w:p w14:paraId="1C194FB6"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720" w:type="dxa"/>
            <w:tcBorders>
              <w:bottom w:val="single" w:sz="16" w:space="0" w:color="000000"/>
            </w:tcBorders>
            <w:shd w:val="clear" w:color="auto" w:fill="FFFFFF"/>
          </w:tcPr>
          <w:p w14:paraId="1213CA7E"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720" w:type="dxa"/>
            <w:tcBorders>
              <w:bottom w:val="single" w:sz="16" w:space="0" w:color="000000"/>
            </w:tcBorders>
            <w:shd w:val="clear" w:color="auto" w:fill="FFFFFF"/>
          </w:tcPr>
          <w:p w14:paraId="1C4C014B"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14:paraId="2ADA5298"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r>
      <w:tr w:rsidR="00D426D1" w:rsidRPr="00BD6690" w14:paraId="13BC9CE9" w14:textId="77777777" w:rsidTr="00A12925">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14:paraId="40850B05"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14:paraId="4B04A565"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14:paraId="0C49E0B9"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14:paraId="093EC23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720" w:type="dxa"/>
            <w:tcBorders>
              <w:top w:val="single" w:sz="16" w:space="0" w:color="000000"/>
              <w:bottom w:val="nil"/>
            </w:tcBorders>
            <w:shd w:val="clear" w:color="auto" w:fill="FFFFFF"/>
            <w:vAlign w:val="center"/>
          </w:tcPr>
          <w:p w14:paraId="47ACB95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14:paraId="484F8C9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14:paraId="2ED116A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14:paraId="265E0AE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14:paraId="00D5601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80" w:type="dxa"/>
            <w:tcBorders>
              <w:top w:val="single" w:sz="16" w:space="0" w:color="000000"/>
              <w:bottom w:val="nil"/>
            </w:tcBorders>
            <w:shd w:val="clear" w:color="auto" w:fill="FFFFFF"/>
            <w:vAlign w:val="center"/>
          </w:tcPr>
          <w:p w14:paraId="14D51FB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720" w:type="dxa"/>
            <w:tcBorders>
              <w:top w:val="single" w:sz="16" w:space="0" w:color="000000"/>
              <w:bottom w:val="nil"/>
            </w:tcBorders>
            <w:shd w:val="clear" w:color="auto" w:fill="FFFFFF"/>
            <w:vAlign w:val="center"/>
          </w:tcPr>
          <w:p w14:paraId="4F2E678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single" w:sz="16" w:space="0" w:color="000000"/>
              <w:bottom w:val="nil"/>
            </w:tcBorders>
            <w:shd w:val="clear" w:color="auto" w:fill="FFFFFF"/>
            <w:vAlign w:val="center"/>
          </w:tcPr>
          <w:p w14:paraId="4246864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810" w:type="dxa"/>
            <w:tcBorders>
              <w:top w:val="single" w:sz="16" w:space="0" w:color="000000"/>
              <w:bottom w:val="nil"/>
              <w:right w:val="single" w:sz="16" w:space="0" w:color="000000"/>
            </w:tcBorders>
            <w:shd w:val="clear" w:color="auto" w:fill="FFFFFF"/>
            <w:vAlign w:val="center"/>
          </w:tcPr>
          <w:p w14:paraId="269A97C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r>
      <w:tr w:rsidR="00D426D1" w:rsidRPr="00BD6690" w14:paraId="2FA89BD4" w14:textId="77777777"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14:paraId="45DC494C"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14:paraId="2EF4BA5C"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7D9E156A"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66944" behindDoc="0" locked="0" layoutInCell="1" allowOverlap="1" wp14:anchorId="22B756D9" wp14:editId="6E8B8FA2">
                      <wp:simplePos x="0" y="0"/>
                      <wp:positionH relativeFrom="column">
                        <wp:posOffset>71120</wp:posOffset>
                      </wp:positionH>
                      <wp:positionV relativeFrom="paragraph">
                        <wp:posOffset>-10160</wp:posOffset>
                      </wp:positionV>
                      <wp:extent cx="5427980" cy="9525"/>
                      <wp:effectExtent l="0" t="0" r="1270" b="9525"/>
                      <wp:wrapNone/>
                      <wp:docPr id="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42798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BB9A21" id="AutoShape 23" o:spid="_x0000_s1026" type="#_x0000_t32" style="position:absolute;margin-left:5.6pt;margin-top:-.8pt;width:427.4pt;height:.75p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34A873F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12.9%</w:t>
            </w:r>
          </w:p>
        </w:tc>
        <w:tc>
          <w:tcPr>
            <w:tcW w:w="720" w:type="dxa"/>
            <w:tcBorders>
              <w:top w:val="nil"/>
              <w:bottom w:val="nil"/>
            </w:tcBorders>
            <w:shd w:val="clear" w:color="auto" w:fill="FFFFFF"/>
            <w:vAlign w:val="center"/>
          </w:tcPr>
          <w:p w14:paraId="3D760A0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14:paraId="746B579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14:paraId="550C9D7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14:paraId="6001B51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14:paraId="3C8C616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4.8%</w:t>
            </w:r>
          </w:p>
        </w:tc>
        <w:tc>
          <w:tcPr>
            <w:tcW w:w="880" w:type="dxa"/>
            <w:tcBorders>
              <w:top w:val="nil"/>
              <w:bottom w:val="nil"/>
            </w:tcBorders>
            <w:shd w:val="clear" w:color="auto" w:fill="FFFFFF"/>
            <w:vAlign w:val="center"/>
          </w:tcPr>
          <w:p w14:paraId="7080D16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16.1%</w:t>
            </w:r>
          </w:p>
        </w:tc>
        <w:tc>
          <w:tcPr>
            <w:tcW w:w="720" w:type="dxa"/>
            <w:tcBorders>
              <w:top w:val="nil"/>
              <w:bottom w:val="nil"/>
            </w:tcBorders>
            <w:shd w:val="clear" w:color="auto" w:fill="FFFFFF"/>
            <w:vAlign w:val="center"/>
          </w:tcPr>
          <w:p w14:paraId="18ED5BD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14:paraId="64E92CA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3.2%</w:t>
            </w:r>
          </w:p>
        </w:tc>
        <w:tc>
          <w:tcPr>
            <w:tcW w:w="810" w:type="dxa"/>
            <w:tcBorders>
              <w:top w:val="nil"/>
              <w:bottom w:val="nil"/>
              <w:right w:val="single" w:sz="16" w:space="0" w:color="000000"/>
            </w:tcBorders>
            <w:shd w:val="clear" w:color="auto" w:fill="FFFFFF"/>
            <w:vAlign w:val="center"/>
          </w:tcPr>
          <w:p w14:paraId="6062216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51.6%</w:t>
            </w:r>
          </w:p>
        </w:tc>
      </w:tr>
      <w:tr w:rsidR="00D426D1" w:rsidRPr="00BD6690" w14:paraId="3D082A21" w14:textId="77777777"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14:paraId="726ECFF5"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14:paraId="202CCFD5"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65920" behindDoc="0" locked="0" layoutInCell="1" allowOverlap="1" wp14:anchorId="7B121AA8" wp14:editId="009592F3">
                      <wp:simplePos x="0" y="0"/>
                      <wp:positionH relativeFrom="column">
                        <wp:posOffset>69850</wp:posOffset>
                      </wp:positionH>
                      <wp:positionV relativeFrom="paragraph">
                        <wp:posOffset>-100330</wp:posOffset>
                      </wp:positionV>
                      <wp:extent cx="6118225" cy="19050"/>
                      <wp:effectExtent l="0" t="0" r="0" b="0"/>
                      <wp:wrapNone/>
                      <wp:docPr id="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1182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2A064F" id="AutoShape 22" o:spid="_x0000_s1026" type="#_x0000_t32" style="position:absolute;margin-left:5.5pt;margin-top:-7.9pt;width:481.75pt;height:1.5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">
                      <o:lock v:ext="edit" shapetype="f"/>
                    </v:shape>
                  </w:pict>
                </mc:Fallback>
              </mc:AlternateContent>
            </w:r>
            <w:r w:rsidR="00D426D1"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14:paraId="722DF285"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14:paraId="67BDD7D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720" w:type="dxa"/>
            <w:tcBorders>
              <w:top w:val="nil"/>
              <w:bottom w:val="nil"/>
            </w:tcBorders>
            <w:shd w:val="clear" w:color="auto" w:fill="FFFFFF"/>
            <w:vAlign w:val="center"/>
          </w:tcPr>
          <w:p w14:paraId="790E594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nil"/>
              <w:bottom w:val="nil"/>
            </w:tcBorders>
            <w:shd w:val="clear" w:color="auto" w:fill="FFFFFF"/>
            <w:vAlign w:val="center"/>
          </w:tcPr>
          <w:p w14:paraId="3684C50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14:paraId="1E87604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14:paraId="4A86641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14:paraId="20BB3C7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80" w:type="dxa"/>
            <w:tcBorders>
              <w:top w:val="nil"/>
              <w:bottom w:val="nil"/>
            </w:tcBorders>
            <w:shd w:val="clear" w:color="auto" w:fill="FFFFFF"/>
            <w:vAlign w:val="center"/>
          </w:tcPr>
          <w:p w14:paraId="4A0CA21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14:paraId="61B2160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nil"/>
              <w:bottom w:val="nil"/>
            </w:tcBorders>
            <w:shd w:val="clear" w:color="auto" w:fill="FFFFFF"/>
            <w:vAlign w:val="center"/>
          </w:tcPr>
          <w:p w14:paraId="0804F38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right w:val="single" w:sz="16" w:space="0" w:color="000000"/>
            </w:tcBorders>
            <w:shd w:val="clear" w:color="auto" w:fill="FFFFFF"/>
            <w:vAlign w:val="center"/>
          </w:tcPr>
          <w:p w14:paraId="4100213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w:t>
            </w:r>
          </w:p>
        </w:tc>
      </w:tr>
      <w:tr w:rsidR="00D426D1" w:rsidRPr="00BD6690" w14:paraId="112B27AD" w14:textId="77777777"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14:paraId="7D450F53"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14:paraId="5D69CD19"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3EEE324A"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4294967295" distB="4294967295" distL="114300" distR="114300" simplePos="0" relativeHeight="251667968" behindDoc="0" locked="0" layoutInCell="1" allowOverlap="1" wp14:anchorId="053327C2" wp14:editId="1688E8CA">
                      <wp:simplePos x="0" y="0"/>
                      <wp:positionH relativeFrom="column">
                        <wp:posOffset>71120</wp:posOffset>
                      </wp:positionH>
                      <wp:positionV relativeFrom="paragraph">
                        <wp:posOffset>-636</wp:posOffset>
                      </wp:positionV>
                      <wp:extent cx="5427980" cy="0"/>
                      <wp:effectExtent l="0" t="0" r="0" b="0"/>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427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CE155B" id="AutoShape 24" o:spid="_x0000_s1026" type="#_x0000_t32" style="position:absolute;margin-left:5.6pt;margin-top:-.05pt;width:427.4pt;height:0;flip:x;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530C248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720" w:type="dxa"/>
            <w:tcBorders>
              <w:top w:val="nil"/>
              <w:bottom w:val="nil"/>
            </w:tcBorders>
            <w:shd w:val="clear" w:color="auto" w:fill="FFFFFF"/>
            <w:vAlign w:val="center"/>
          </w:tcPr>
          <w:p w14:paraId="13E28BF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14:paraId="751F4CC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810" w:type="dxa"/>
            <w:tcBorders>
              <w:top w:val="nil"/>
              <w:bottom w:val="nil"/>
            </w:tcBorders>
            <w:shd w:val="clear" w:color="auto" w:fill="FFFFFF"/>
            <w:vAlign w:val="center"/>
          </w:tcPr>
          <w:p w14:paraId="4CD253C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tcBorders>
            <w:shd w:val="clear" w:color="auto" w:fill="FFFFFF"/>
            <w:vAlign w:val="center"/>
          </w:tcPr>
          <w:p w14:paraId="3BE4C42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3.2%</w:t>
            </w:r>
          </w:p>
        </w:tc>
        <w:tc>
          <w:tcPr>
            <w:tcW w:w="720" w:type="dxa"/>
            <w:tcBorders>
              <w:top w:val="nil"/>
              <w:bottom w:val="nil"/>
            </w:tcBorders>
            <w:shd w:val="clear" w:color="auto" w:fill="FFFFFF"/>
            <w:vAlign w:val="center"/>
          </w:tcPr>
          <w:p w14:paraId="5245AAE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9.7%</w:t>
            </w:r>
          </w:p>
        </w:tc>
        <w:tc>
          <w:tcPr>
            <w:tcW w:w="880" w:type="dxa"/>
            <w:tcBorders>
              <w:top w:val="nil"/>
              <w:bottom w:val="nil"/>
            </w:tcBorders>
            <w:shd w:val="clear" w:color="auto" w:fill="FFFFFF"/>
            <w:vAlign w:val="center"/>
          </w:tcPr>
          <w:p w14:paraId="55B9B26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720" w:type="dxa"/>
            <w:tcBorders>
              <w:top w:val="nil"/>
              <w:bottom w:val="nil"/>
            </w:tcBorders>
            <w:shd w:val="clear" w:color="auto" w:fill="FFFFFF"/>
            <w:vAlign w:val="center"/>
          </w:tcPr>
          <w:p w14:paraId="4FFF42B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14:paraId="0EAF19A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810" w:type="dxa"/>
            <w:tcBorders>
              <w:top w:val="nil"/>
              <w:bottom w:val="nil"/>
              <w:right w:val="single" w:sz="16" w:space="0" w:color="000000"/>
            </w:tcBorders>
            <w:shd w:val="clear" w:color="auto" w:fill="FFFFFF"/>
            <w:vAlign w:val="center"/>
          </w:tcPr>
          <w:p w14:paraId="6E781E3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48.4%</w:t>
            </w:r>
          </w:p>
        </w:tc>
      </w:tr>
      <w:tr w:rsidR="00D426D1" w:rsidRPr="00BD6690" w14:paraId="04F2FEED" w14:textId="77777777" w:rsidTr="00A12925">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14:paraId="3F9DE4A6"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0" distB="0" distL="114300" distR="114300" simplePos="0" relativeHeight="251664896" behindDoc="0" locked="0" layoutInCell="1" allowOverlap="1" wp14:anchorId="1D574BE9" wp14:editId="3907D888">
                      <wp:simplePos x="0" y="0"/>
                      <wp:positionH relativeFrom="column">
                        <wp:posOffset>-6350</wp:posOffset>
                      </wp:positionH>
                      <wp:positionV relativeFrom="paragraph">
                        <wp:posOffset>-95250</wp:posOffset>
                      </wp:positionV>
                      <wp:extent cx="6981825" cy="38100"/>
                      <wp:effectExtent l="0" t="0" r="9525" b="0"/>
                      <wp:wrapNone/>
                      <wp:docPr id="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981825" cy="3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7FB9A6" id="AutoShape 21" o:spid="_x0000_s1026" type="#_x0000_t32" style="position:absolute;margin-left:-.5pt;margin-top:-7.5pt;width:549.75pt;height:3pt;flip:x 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">
                      <o:lock v:ext="edit" shapetype="f"/>
                    </v:shape>
                  </w:pict>
                </mc:Fallback>
              </mc:AlternateContent>
            </w:r>
            <w:r w:rsidR="00D426D1" w:rsidRPr="00BD6690">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14:paraId="2759951D"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14:paraId="32BA471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w:t>
            </w:r>
          </w:p>
        </w:tc>
        <w:tc>
          <w:tcPr>
            <w:tcW w:w="720" w:type="dxa"/>
            <w:tcBorders>
              <w:top w:val="nil"/>
              <w:bottom w:val="nil"/>
            </w:tcBorders>
            <w:shd w:val="clear" w:color="auto" w:fill="FFFFFF"/>
            <w:vAlign w:val="center"/>
          </w:tcPr>
          <w:p w14:paraId="2F45F0C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w:t>
            </w:r>
          </w:p>
        </w:tc>
        <w:tc>
          <w:tcPr>
            <w:tcW w:w="720" w:type="dxa"/>
            <w:tcBorders>
              <w:top w:val="nil"/>
              <w:bottom w:val="nil"/>
            </w:tcBorders>
            <w:shd w:val="clear" w:color="auto" w:fill="FFFFFF"/>
            <w:vAlign w:val="center"/>
          </w:tcPr>
          <w:p w14:paraId="29320D2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w:t>
            </w:r>
          </w:p>
        </w:tc>
        <w:tc>
          <w:tcPr>
            <w:tcW w:w="810" w:type="dxa"/>
            <w:tcBorders>
              <w:top w:val="nil"/>
              <w:bottom w:val="nil"/>
            </w:tcBorders>
            <w:shd w:val="clear" w:color="auto" w:fill="FFFFFF"/>
            <w:vAlign w:val="center"/>
          </w:tcPr>
          <w:p w14:paraId="00307B3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w:t>
            </w:r>
          </w:p>
        </w:tc>
        <w:tc>
          <w:tcPr>
            <w:tcW w:w="810" w:type="dxa"/>
            <w:tcBorders>
              <w:top w:val="nil"/>
              <w:bottom w:val="nil"/>
            </w:tcBorders>
            <w:shd w:val="clear" w:color="auto" w:fill="FFFFFF"/>
            <w:vAlign w:val="center"/>
          </w:tcPr>
          <w:p w14:paraId="5EF4078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720" w:type="dxa"/>
            <w:tcBorders>
              <w:top w:val="nil"/>
              <w:bottom w:val="nil"/>
            </w:tcBorders>
            <w:shd w:val="clear" w:color="auto" w:fill="FFFFFF"/>
            <w:vAlign w:val="center"/>
          </w:tcPr>
          <w:p w14:paraId="52D2C83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w:t>
            </w:r>
          </w:p>
        </w:tc>
        <w:tc>
          <w:tcPr>
            <w:tcW w:w="880" w:type="dxa"/>
            <w:tcBorders>
              <w:top w:val="nil"/>
              <w:bottom w:val="nil"/>
            </w:tcBorders>
            <w:shd w:val="clear" w:color="auto" w:fill="FFFFFF"/>
            <w:vAlign w:val="center"/>
          </w:tcPr>
          <w:p w14:paraId="7B5821A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720" w:type="dxa"/>
            <w:tcBorders>
              <w:top w:val="nil"/>
              <w:bottom w:val="nil"/>
            </w:tcBorders>
            <w:shd w:val="clear" w:color="auto" w:fill="FFFFFF"/>
            <w:vAlign w:val="center"/>
          </w:tcPr>
          <w:p w14:paraId="7F10C40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720" w:type="dxa"/>
            <w:tcBorders>
              <w:top w:val="nil"/>
              <w:bottom w:val="nil"/>
            </w:tcBorders>
            <w:shd w:val="clear" w:color="auto" w:fill="FFFFFF"/>
            <w:vAlign w:val="center"/>
          </w:tcPr>
          <w:p w14:paraId="413E67F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14:paraId="1227339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62</w:t>
            </w:r>
          </w:p>
        </w:tc>
      </w:tr>
      <w:tr w:rsidR="00D426D1" w:rsidRPr="00BD6690" w14:paraId="68066D72" w14:textId="77777777" w:rsidTr="00A12925">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14:paraId="792A801E"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14:paraId="6E81FDAD" w14:textId="77777777" w:rsidR="00D426D1" w:rsidRPr="00BD6690" w:rsidRDefault="00726227" w:rsidP="00196624">
            <w:pPr>
              <w:autoSpaceDE w:val="0"/>
              <w:autoSpaceDN w:val="0"/>
              <w:adjustRightInd w:val="0"/>
              <w:spacing w:beforeLines="50" w:before="120" w:afterLines="50" w:after="120" w:line="240" w:lineRule="auto"/>
              <w:ind w:right="60"/>
              <w:rPr>
                <w:rFonts w:ascii="Arial" w:hAnsi="Arial" w:cs="Arial"/>
                <w:b/>
                <w:color w:val="000000"/>
                <w:sz w:val="18"/>
                <w:szCs w:val="18"/>
              </w:rPr>
            </w:pPr>
            <w:r>
              <w:rPr>
                <w:noProof/>
              </w:rPr>
              <mc:AlternateContent>
                <mc:Choice Requires="wps">
                  <w:drawing>
                    <wp:anchor distT="0" distB="0" distL="114300" distR="114300" simplePos="0" relativeHeight="251668992" behindDoc="0" locked="0" layoutInCell="1" allowOverlap="1" wp14:anchorId="7D0AAFDF" wp14:editId="1E09EF61">
                      <wp:simplePos x="0" y="0"/>
                      <wp:positionH relativeFrom="column">
                        <wp:posOffset>71120</wp:posOffset>
                      </wp:positionH>
                      <wp:positionV relativeFrom="paragraph">
                        <wp:posOffset>-3810</wp:posOffset>
                      </wp:positionV>
                      <wp:extent cx="5427980" cy="19050"/>
                      <wp:effectExtent l="0" t="0" r="1270" b="0"/>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42798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240466" id="AutoShape 25" o:spid="_x0000_s1026" type="#_x0000_t32" style="position:absolute;margin-left:5.6pt;margin-top:-.3pt;width:427.4pt;height:1.5pt;flip:x 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">
                      <o:lock v:ext="edit" shapetype="f"/>
                    </v:shape>
                  </w:pict>
                </mc:Fallback>
              </mc:AlternateContent>
            </w:r>
            <w:r w:rsidR="00D426D1" w:rsidRPr="00BD6690">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14:paraId="0BEDBC9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21.0%</w:t>
            </w:r>
          </w:p>
        </w:tc>
        <w:tc>
          <w:tcPr>
            <w:tcW w:w="720" w:type="dxa"/>
            <w:tcBorders>
              <w:top w:val="nil"/>
              <w:bottom w:val="single" w:sz="16" w:space="0" w:color="000000"/>
            </w:tcBorders>
            <w:shd w:val="clear" w:color="auto" w:fill="FFFFFF"/>
            <w:vAlign w:val="center"/>
          </w:tcPr>
          <w:p w14:paraId="3A682E7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1.6%</w:t>
            </w:r>
          </w:p>
        </w:tc>
        <w:tc>
          <w:tcPr>
            <w:tcW w:w="720" w:type="dxa"/>
            <w:tcBorders>
              <w:top w:val="nil"/>
              <w:bottom w:val="single" w:sz="16" w:space="0" w:color="000000"/>
            </w:tcBorders>
            <w:shd w:val="clear" w:color="auto" w:fill="FFFFFF"/>
            <w:vAlign w:val="center"/>
          </w:tcPr>
          <w:p w14:paraId="49CA732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14.5%</w:t>
            </w:r>
          </w:p>
        </w:tc>
        <w:tc>
          <w:tcPr>
            <w:tcW w:w="810" w:type="dxa"/>
            <w:tcBorders>
              <w:top w:val="nil"/>
              <w:bottom w:val="single" w:sz="16" w:space="0" w:color="000000"/>
            </w:tcBorders>
            <w:shd w:val="clear" w:color="auto" w:fill="FFFFFF"/>
            <w:vAlign w:val="center"/>
          </w:tcPr>
          <w:p w14:paraId="76AF76C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8.1%</w:t>
            </w:r>
          </w:p>
        </w:tc>
        <w:tc>
          <w:tcPr>
            <w:tcW w:w="810" w:type="dxa"/>
            <w:tcBorders>
              <w:top w:val="nil"/>
              <w:bottom w:val="single" w:sz="16" w:space="0" w:color="000000"/>
            </w:tcBorders>
            <w:shd w:val="clear" w:color="auto" w:fill="FFFFFF"/>
            <w:vAlign w:val="center"/>
          </w:tcPr>
          <w:p w14:paraId="446D910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14:paraId="3A62A63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14.5%</w:t>
            </w:r>
          </w:p>
        </w:tc>
        <w:tc>
          <w:tcPr>
            <w:tcW w:w="880" w:type="dxa"/>
            <w:tcBorders>
              <w:top w:val="nil"/>
              <w:bottom w:val="single" w:sz="16" w:space="0" w:color="000000"/>
            </w:tcBorders>
            <w:shd w:val="clear" w:color="auto" w:fill="FFFFFF"/>
            <w:vAlign w:val="center"/>
          </w:tcPr>
          <w:p w14:paraId="758F8DE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22.6%</w:t>
            </w:r>
          </w:p>
        </w:tc>
        <w:tc>
          <w:tcPr>
            <w:tcW w:w="720" w:type="dxa"/>
            <w:tcBorders>
              <w:top w:val="nil"/>
              <w:bottom w:val="single" w:sz="16" w:space="0" w:color="000000"/>
            </w:tcBorders>
            <w:shd w:val="clear" w:color="auto" w:fill="FFFFFF"/>
            <w:vAlign w:val="center"/>
          </w:tcPr>
          <w:p w14:paraId="1F43D5C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14:paraId="086CD45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11.3%</w:t>
            </w:r>
          </w:p>
        </w:tc>
        <w:tc>
          <w:tcPr>
            <w:tcW w:w="810" w:type="dxa"/>
            <w:tcBorders>
              <w:top w:val="nil"/>
              <w:bottom w:val="single" w:sz="16" w:space="0" w:color="000000"/>
              <w:right w:val="single" w:sz="16" w:space="0" w:color="000000"/>
            </w:tcBorders>
            <w:shd w:val="clear" w:color="auto" w:fill="FFFFFF"/>
            <w:vAlign w:val="center"/>
          </w:tcPr>
          <w:p w14:paraId="521AC50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14:paraId="26A703C2" w14:textId="4A1946A2" w:rsidR="00D426D1" w:rsidRDefault="00D426D1" w:rsidP="00196624">
      <w:pPr>
        <w:autoSpaceDE w:val="0"/>
        <w:autoSpaceDN w:val="0"/>
        <w:adjustRightInd w:val="0"/>
        <w:spacing w:beforeLines="50" w:before="120" w:afterLines="50" w:after="120" w:line="240" w:lineRule="auto"/>
        <w:rPr>
          <w:rFonts w:ascii="Times New Roman" w:hAnsi="Times New Roman"/>
          <w:sz w:val="24"/>
          <w:szCs w:val="24"/>
        </w:rPr>
      </w:pPr>
      <w:r>
        <w:rPr>
          <w:rFonts w:ascii="Times New Roman" w:hAnsi="Times New Roman"/>
          <w:sz w:val="24"/>
          <w:szCs w:val="24"/>
        </w:rPr>
        <w:t xml:space="preserve">A total of 62 (100%) claimed to speak a third language. Among Yoruba English bilinguals, the attitude towards their third language such as French, German, Igbo, Hausa, etc. was generally positive. Those who selected </w:t>
      </w:r>
      <w:r w:rsidR="0045624C">
        <w:rPr>
          <w:rFonts w:ascii="Times New Roman" w:hAnsi="Times New Roman"/>
          <w:sz w:val="24"/>
          <w:szCs w:val="24"/>
        </w:rPr>
        <w:t>r</w:t>
      </w:r>
      <w:r>
        <w:rPr>
          <w:rFonts w:ascii="Times New Roman" w:hAnsi="Times New Roman"/>
          <w:sz w:val="24"/>
          <w:szCs w:val="24"/>
        </w:rPr>
        <w:t xml:space="preserve">ed meant it to symbolize their love for the third language. Only about 4 (7%) of the total 62 had reservations about their third language to either be a language of underdevelopment or evil. Those 4 respondents meant indigenous Nigerian languages such as Igbo and Hausa. The Chinese-English bilinguals generally had a positive disposition to their third languages such as German, Korean, Japanese, Spanish, etc. Only about 2(7%) who selected </w:t>
      </w:r>
      <w:r w:rsidR="0045624C">
        <w:rPr>
          <w:rFonts w:ascii="Times New Roman" w:hAnsi="Times New Roman"/>
          <w:sz w:val="24"/>
          <w:szCs w:val="24"/>
        </w:rPr>
        <w:t>g</w:t>
      </w:r>
      <w:r>
        <w:rPr>
          <w:rFonts w:ascii="Times New Roman" w:hAnsi="Times New Roman"/>
          <w:sz w:val="24"/>
          <w:szCs w:val="24"/>
        </w:rPr>
        <w:t xml:space="preserve">rey and </w:t>
      </w:r>
      <w:r w:rsidR="0045624C">
        <w:rPr>
          <w:rFonts w:ascii="Times New Roman" w:hAnsi="Times New Roman"/>
          <w:sz w:val="24"/>
          <w:szCs w:val="24"/>
        </w:rPr>
        <w:t>b</w:t>
      </w:r>
      <w:r>
        <w:rPr>
          <w:rFonts w:ascii="Times New Roman" w:hAnsi="Times New Roman"/>
          <w:sz w:val="24"/>
          <w:szCs w:val="24"/>
        </w:rPr>
        <w:t>lack had an uncertain disposition to their third language. Others who selected black meant it to mean ‘a secret power’ that they possessed in their repertoire.</w:t>
      </w:r>
    </w:p>
    <w:p w14:paraId="7047FA66" w14:textId="452A932C" w:rsidR="00D426D1" w:rsidRPr="00AF0BA6" w:rsidRDefault="00D426D1" w:rsidP="00DD1646">
      <w:pPr>
        <w:pStyle w:val="ListParagraph"/>
        <w:autoSpaceDE w:val="0"/>
        <w:autoSpaceDN w:val="0"/>
        <w:adjustRightInd w:val="0"/>
        <w:spacing w:beforeLines="50" w:before="120" w:afterLines="50" w:after="120" w:line="240" w:lineRule="auto"/>
        <w:ind w:left="0"/>
        <w:rPr>
          <w:rFonts w:ascii="Times New Roman" w:hAnsi="Times New Roman"/>
          <w:b/>
          <w:sz w:val="24"/>
          <w:szCs w:val="24"/>
        </w:rPr>
      </w:pPr>
      <w:r w:rsidRPr="00AF0BA6">
        <w:rPr>
          <w:rFonts w:ascii="Times New Roman" w:hAnsi="Times New Roman"/>
          <w:b/>
          <w:sz w:val="24"/>
          <w:szCs w:val="24"/>
        </w:rPr>
        <w:t>Discussion of Findings</w:t>
      </w:r>
    </w:p>
    <w:p w14:paraId="3DF78253" w14:textId="6C7C90B7" w:rsidR="0093670B" w:rsidRPr="0093670B" w:rsidRDefault="005336C8" w:rsidP="0093670B">
      <w:pPr>
        <w:autoSpaceDE w:val="0"/>
        <w:autoSpaceDN w:val="0"/>
        <w:adjustRightInd w:val="0"/>
        <w:spacing w:beforeLines="50" w:before="120" w:afterLines="50" w:after="120" w:line="240" w:lineRule="auto"/>
        <w:jc w:val="both"/>
        <w:rPr>
          <w:rFonts w:ascii="Times New Roman" w:hAnsi="Times New Roman"/>
          <w:sz w:val="24"/>
          <w:szCs w:val="24"/>
          <w:shd w:val="clear" w:color="auto" w:fill="FFFFFF"/>
        </w:rPr>
      </w:pPr>
      <w:r w:rsidRPr="00DE4906">
        <w:rPr>
          <w:rFonts w:ascii="Times New Roman" w:hAnsi="Times New Roman"/>
          <w:sz w:val="24"/>
          <w:szCs w:val="24"/>
        </w:rPr>
        <w:t>Literature suggest that relationship between color and language is complex and that such perception may be shaped by relativistic and universal forces (He, Li, Xiao, Jiang, Yang, and Zhi, 2019). This supports the present study in that while speakers generally ha</w:t>
      </w:r>
      <w:r w:rsidR="00DE4906" w:rsidRPr="00DE4906">
        <w:rPr>
          <w:rFonts w:ascii="Times New Roman" w:hAnsi="Times New Roman"/>
          <w:sz w:val="24"/>
          <w:szCs w:val="24"/>
        </w:rPr>
        <w:t>d a positive evaluation of colors such as white, they differ in their evaluation and subsequent assignment of other colors such as red and black to their languages.</w:t>
      </w:r>
      <w:r w:rsidR="00DE4906">
        <w:rPr>
          <w:rFonts w:ascii="Times New Roman" w:hAnsi="Times New Roman"/>
          <w:sz w:val="24"/>
          <w:szCs w:val="24"/>
        </w:rPr>
        <w:t xml:space="preserve"> </w:t>
      </w:r>
      <w:r w:rsidR="0093670B" w:rsidRPr="0093670B">
        <w:rPr>
          <w:rFonts w:ascii="Times New Roman" w:hAnsi="Times New Roman"/>
          <w:sz w:val="24"/>
          <w:szCs w:val="24"/>
          <w:shd w:val="clear" w:color="auto" w:fill="FFFFFF"/>
        </w:rPr>
        <w:t xml:space="preserve">According to the Whorf hypothesis, the repertoire of a people can have an impact on their cognition (Whorf and Caroll,1956). Although, not much has been done on the evaluation of speakers’ language based on their knowledge of the color system, many scholars have researched the relationship between color perception and language as well as color perception and cognition (Kay and Kempton, 1984; Davidoff, 2001; Winawer, Withoft, Wu and Boroditsky (2003); </w:t>
      </w:r>
      <w:r w:rsidR="00F94C57" w:rsidRPr="00F94C57">
        <w:rPr>
          <w:rFonts w:ascii="Times New Roman" w:hAnsi="Times New Roman"/>
          <w:sz w:val="24"/>
          <w:szCs w:val="24"/>
          <w:shd w:val="clear" w:color="auto" w:fill="FFFFFF"/>
        </w:rPr>
        <w:t>Roberson, Davidoff</w:t>
      </w:r>
      <w:r w:rsidR="00F94C57">
        <w:rPr>
          <w:rFonts w:ascii="Times New Roman" w:hAnsi="Times New Roman"/>
          <w:sz w:val="24"/>
          <w:szCs w:val="24"/>
          <w:shd w:val="clear" w:color="auto" w:fill="FFFFFF"/>
        </w:rPr>
        <w:t xml:space="preserve">, </w:t>
      </w:r>
      <w:r w:rsidR="0093670B" w:rsidRPr="0093670B">
        <w:rPr>
          <w:rFonts w:ascii="Times New Roman" w:hAnsi="Times New Roman"/>
          <w:sz w:val="24"/>
          <w:szCs w:val="24"/>
          <w:shd w:val="clear" w:color="auto" w:fill="FFFFFF"/>
        </w:rPr>
        <w:t>Davies and Shapiro, 2005). For example: Winawer et al. show there is an on-line effect of verbal coding on color discrimination. We can infer the application of this finding in the current research where the evaluation of respondents’ languages is based on their perception of the colors in the color system of their native environment.</w:t>
      </w:r>
    </w:p>
    <w:p w14:paraId="145DFB7E" w14:textId="0BE6A0D5"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Some of the formulated hypotheses at the beginning of this study were confirmed while others were nullified. In terms of preference for colors, it was confirmed that males generally had more preference for dull colors than females who mostly preferred bright colors. However, this assertion </w:t>
      </w:r>
      <w:r>
        <w:rPr>
          <w:rFonts w:ascii="Times New Roman" w:hAnsi="Times New Roman"/>
          <w:sz w:val="24"/>
          <w:szCs w:val="24"/>
        </w:rPr>
        <w:lastRenderedPageBreak/>
        <w:t>was not overwhelmingly true in the case of Chinese females who had a very tight margin between their preference for bright colors and that for dull colors. White and Blue were emphasized as colors that had popularity of preference across the two genders in the two cultures.</w:t>
      </w:r>
    </w:p>
    <w:p w14:paraId="7485BB8E"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bookmarkStart w:id="1" w:name="_Hlk18605336"/>
      <w:r>
        <w:rPr>
          <w:rFonts w:ascii="Times New Roman" w:hAnsi="Times New Roman"/>
          <w:sz w:val="24"/>
          <w:szCs w:val="24"/>
        </w:rPr>
        <w:t>As opposed to the hypothesis, Chinese English bilinguals, though in an English Language environment actually had an overwhelmingly more positive attitude to Chinese than they did to English.</w:t>
      </w:r>
      <w:bookmarkEnd w:id="1"/>
      <w:r>
        <w:rPr>
          <w:rFonts w:ascii="Times New Roman" w:hAnsi="Times New Roman"/>
          <w:sz w:val="24"/>
          <w:szCs w:val="24"/>
        </w:rPr>
        <w:t xml:space="preserve"> A major reason for this would be the earlier stated fact that majority of these respondents are sequential learners of English language and so learnt English after their Chinese had been fully established. In addition to this, majority of the Chinese-English bilinguals had had to use Chinese in all domains back in China without having any need for English whatsoever. This has helped in building their commitment to the language and pride in it. Another factor to note is that a lot of the Chinese-English bilinguals learned English only in an academic environment and basically have to use the language because they are in the United States for their Education. They thus see it as a language which they have to learn by force to be able to function in the American society. Lastly, China practices a communist system of government and their native language plays an important role in communication and survival in the society. This is unlike the case with Nigeria where native languages are subordinate to English in official and government functions.</w:t>
      </w:r>
    </w:p>
    <w:p w14:paraId="49792BEC" w14:textId="77777777" w:rsidR="00D426D1" w:rsidRPr="002B013A" w:rsidRDefault="00D426D1" w:rsidP="00196624">
      <w:pPr>
        <w:numPr>
          <w:ins w:id="2" w:author="Author" w:date="2018-08-01T18:21:00Z"/>
        </w:num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Despite being in the native Yoruba environment, Yoruba-English bilinguals had a higher preference for English language than they did for their native Yoruba. Many of them perceive Yoruba language to be a language of backwardness while others perceived it to be a hindrance to learning English. They saw English to be a language of Globalization and that of Pride and Dignity. The reason is not farfetched: all Yoruba-English respondents were simultaneous bilinguals and coupled with this fact is that they lived in a society where English is the language of Social mobility. In other words, fluency in English is more desirable than fluency in Yoruba language. Also because of the level of education of the masses, a lot of people believe that competence in Yoruba prevents competence in English language hence the thought of Yoruba as </w:t>
      </w:r>
      <w:r w:rsidRPr="002B013A">
        <w:rPr>
          <w:rFonts w:ascii="Times New Roman" w:hAnsi="Times New Roman"/>
          <w:sz w:val="24"/>
          <w:szCs w:val="24"/>
        </w:rPr>
        <w:t>a danger to the acquisition of English. Even though the Yoruba language conveys the culture and tradition of the Yoruba people, English controls the class placement of individuals in Nigeria as a whole.</w:t>
      </w:r>
      <w:r w:rsidR="00083C31" w:rsidRPr="002B013A">
        <w:rPr>
          <w:rFonts w:ascii="Times New Roman" w:hAnsi="Times New Roman"/>
          <w:sz w:val="24"/>
          <w:szCs w:val="24"/>
        </w:rPr>
        <w:t xml:space="preserve"> This situation is not exclusive to Nigeria alone, but similar in Anglo-West African states. In fact, it is the case in many other African countries.</w:t>
      </w:r>
    </w:p>
    <w:p w14:paraId="6060B082" w14:textId="7282C1F7" w:rsidR="00CD39E3"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general, although there existed some diversity, respondents showed a great awareness of the symbolism of colors. They were even able to manipulate this symbolism across divides as in Chinese-English bilinguals who selected Red to mean Pride when it was for the MT and selected the same Red to mean danger when it was for English. Indeed, color system turned out to be a viable and largely accurate way of knowing the attitude of bilinguals to their different languages and society.</w:t>
      </w:r>
    </w:p>
    <w:p w14:paraId="604D7912" w14:textId="3EDFD4DA" w:rsidR="00D426D1" w:rsidRPr="00AF0BA6" w:rsidRDefault="00CD39E3" w:rsidP="00DD1646">
      <w:pPr>
        <w:pStyle w:val="ListParagraph"/>
        <w:autoSpaceDE w:val="0"/>
        <w:autoSpaceDN w:val="0"/>
        <w:adjustRightInd w:val="0"/>
        <w:spacing w:beforeLines="50" w:before="120" w:afterLines="50" w:after="120" w:line="240" w:lineRule="auto"/>
        <w:ind w:left="0"/>
        <w:jc w:val="both"/>
        <w:rPr>
          <w:rFonts w:ascii="Times New Roman" w:hAnsi="Times New Roman"/>
          <w:b/>
          <w:sz w:val="24"/>
          <w:szCs w:val="24"/>
        </w:rPr>
      </w:pPr>
      <w:r>
        <w:rPr>
          <w:rFonts w:ascii="Times New Roman" w:hAnsi="Times New Roman"/>
          <w:b/>
          <w:sz w:val="24"/>
          <w:szCs w:val="24"/>
        </w:rPr>
        <w:t>Recommendations</w:t>
      </w:r>
    </w:p>
    <w:p w14:paraId="1CCF8DA5" w14:textId="629E41D4" w:rsidR="00CD39E3" w:rsidRDefault="00CD39E3" w:rsidP="00CD39E3">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This study makes a comparison between Chinese-English bilinguals in an English language environment and Yoruba-English bilinguals in a Yoruba environment. In further studies, comparison could be made between the same set of bilinguals e.g. Yoruba-English bilinguals in Yoruba environment versus Yoruba-English bilinguals in English language environment. </w:t>
      </w:r>
      <w:r w:rsidR="00F13BEB">
        <w:rPr>
          <w:rFonts w:ascii="Times New Roman" w:hAnsi="Times New Roman"/>
          <w:sz w:val="24"/>
          <w:szCs w:val="24"/>
        </w:rPr>
        <w:t xml:space="preserve">The result of such study can be compared with this study to see if a similar group of bilinguals can have different linguistic attitudes based on their location. Also, more bilingual groups can be compared to further strengthen the argument that is presented in this study. </w:t>
      </w:r>
    </w:p>
    <w:p w14:paraId="6179B879" w14:textId="72C5AD19" w:rsidR="00CD39E3" w:rsidRDefault="00F13BEB" w:rsidP="00CD39E3">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lastRenderedPageBreak/>
        <w:t>In addition</w:t>
      </w:r>
      <w:r w:rsidR="00CD39E3">
        <w:rPr>
          <w:rFonts w:ascii="Times New Roman" w:hAnsi="Times New Roman"/>
          <w:sz w:val="24"/>
          <w:szCs w:val="24"/>
        </w:rPr>
        <w:t>, further studies depending on the cultures or societies being compared, and the colors being utilized might require the use of visual aids in addition to surveys and personal conversation/observation. The methodology of this study is viable for the results obtained therein because respondents were aware of the colors that were utilized and have good knowledge of the signification of the</w:t>
      </w:r>
      <w:r>
        <w:rPr>
          <w:rFonts w:ascii="Times New Roman" w:hAnsi="Times New Roman"/>
          <w:sz w:val="24"/>
          <w:szCs w:val="24"/>
        </w:rPr>
        <w:t>se</w:t>
      </w:r>
      <w:r w:rsidR="00CD39E3">
        <w:rPr>
          <w:rFonts w:ascii="Times New Roman" w:hAnsi="Times New Roman"/>
          <w:sz w:val="24"/>
          <w:szCs w:val="24"/>
        </w:rPr>
        <w:t xml:space="preserve"> colors in their societies. This is largely because the utilized colors were devoid of complex shades which would have complicated respondents’ knowledge of the color system, and </w:t>
      </w:r>
      <w:r>
        <w:rPr>
          <w:rFonts w:ascii="Times New Roman" w:hAnsi="Times New Roman"/>
          <w:sz w:val="24"/>
          <w:szCs w:val="24"/>
        </w:rPr>
        <w:t>as such</w:t>
      </w:r>
      <w:r w:rsidR="00CD39E3">
        <w:rPr>
          <w:rFonts w:ascii="Times New Roman" w:hAnsi="Times New Roman"/>
          <w:sz w:val="24"/>
          <w:szCs w:val="24"/>
        </w:rPr>
        <w:t xml:space="preserve"> required the use of pictures or other visual aids for respondents to identify the </w:t>
      </w:r>
      <w:r>
        <w:rPr>
          <w:rFonts w:ascii="Times New Roman" w:hAnsi="Times New Roman"/>
          <w:sz w:val="24"/>
          <w:szCs w:val="24"/>
        </w:rPr>
        <w:t xml:space="preserve">shades of </w:t>
      </w:r>
      <w:r w:rsidR="00CD39E3">
        <w:rPr>
          <w:rFonts w:ascii="Times New Roman" w:hAnsi="Times New Roman"/>
          <w:sz w:val="24"/>
          <w:szCs w:val="24"/>
        </w:rPr>
        <w:t xml:space="preserve">colors. </w:t>
      </w:r>
    </w:p>
    <w:p w14:paraId="200B1DFF" w14:textId="6118ADF3" w:rsidR="00CD39E3" w:rsidRPr="00CD39E3" w:rsidRDefault="00CD39E3" w:rsidP="00CD39E3">
      <w:pPr>
        <w:autoSpaceDE w:val="0"/>
        <w:autoSpaceDN w:val="0"/>
        <w:adjustRightInd w:val="0"/>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Conclusion</w:t>
      </w:r>
    </w:p>
    <w:p w14:paraId="172A83EE" w14:textId="0D3173B9"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DD1646">
        <w:rPr>
          <w:rFonts w:ascii="Times New Roman" w:hAnsi="Times New Roman"/>
          <w:sz w:val="24"/>
          <w:szCs w:val="24"/>
        </w:rPr>
        <w:t>The Ethno</w:t>
      </w:r>
      <w:r w:rsidR="00DD1646" w:rsidRPr="00DD1646">
        <w:rPr>
          <w:rFonts w:ascii="Times New Roman" w:hAnsi="Times New Roman"/>
          <w:sz w:val="24"/>
          <w:szCs w:val="24"/>
        </w:rPr>
        <w:t>linguistic Vitality Theory</w:t>
      </w:r>
      <w:r>
        <w:rPr>
          <w:rFonts w:ascii="Times New Roman" w:hAnsi="Times New Roman"/>
          <w:sz w:val="24"/>
          <w:szCs w:val="24"/>
        </w:rPr>
        <w:t xml:space="preserve"> is very much applicable to beyond ordinary spoken utterance analysis of language. This study shows that colors are indeed a universal concept and can be used to express not only explicit information but also implicit information such as attitude and perspectives of individuals. Social context affects perception about language, and language is not valued only based on its linguistic or semantic components. </w:t>
      </w:r>
      <w:bookmarkStart w:id="3" w:name="_Hlk520974322"/>
      <w:r>
        <w:rPr>
          <w:rFonts w:ascii="Times New Roman" w:hAnsi="Times New Roman"/>
          <w:sz w:val="24"/>
          <w:szCs w:val="24"/>
        </w:rPr>
        <w:t xml:space="preserve">The attitude of people to language is, a lot, determined by their allegiance to the underlying culture of that language as well as the usefulness of the language in terms of upward mobility in its resident social community. </w:t>
      </w:r>
    </w:p>
    <w:bookmarkEnd w:id="3"/>
    <w:p w14:paraId="5513F383"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Age and mode of acquisition of languages also play a part in a person’s attitude towards different languages. </w:t>
      </w:r>
      <w:r w:rsidR="002B013A">
        <w:rPr>
          <w:rFonts w:ascii="Times New Roman" w:hAnsi="Times New Roman"/>
          <w:sz w:val="24"/>
          <w:szCs w:val="24"/>
        </w:rPr>
        <w:t>Simultaneous bilinguals</w:t>
      </w:r>
      <w:r>
        <w:rPr>
          <w:rFonts w:ascii="Times New Roman" w:hAnsi="Times New Roman"/>
          <w:sz w:val="24"/>
          <w:szCs w:val="24"/>
        </w:rPr>
        <w:t xml:space="preserve"> shift between their two languages depending on which one is more viable in cult</w:t>
      </w:r>
      <w:r w:rsidR="002B013A">
        <w:rPr>
          <w:rFonts w:ascii="Times New Roman" w:hAnsi="Times New Roman"/>
          <w:sz w:val="24"/>
          <w:szCs w:val="24"/>
        </w:rPr>
        <w:t>ure and for social growth, but</w:t>
      </w:r>
      <w:r>
        <w:rPr>
          <w:rFonts w:ascii="Times New Roman" w:hAnsi="Times New Roman"/>
          <w:sz w:val="24"/>
          <w:szCs w:val="24"/>
        </w:rPr>
        <w:t xml:space="preserve"> sequential bilinguals (especially those who acquire the second lang</w:t>
      </w:r>
      <w:r w:rsidR="002B013A">
        <w:rPr>
          <w:rFonts w:ascii="Times New Roman" w:hAnsi="Times New Roman"/>
          <w:sz w:val="24"/>
          <w:szCs w:val="24"/>
        </w:rPr>
        <w:t>uage at teen-age or above)</w:t>
      </w:r>
      <w:r>
        <w:rPr>
          <w:rFonts w:ascii="Times New Roman" w:hAnsi="Times New Roman"/>
          <w:sz w:val="24"/>
          <w:szCs w:val="24"/>
        </w:rPr>
        <w:t xml:space="preserve"> have preference for their first language</w:t>
      </w:r>
      <w:r w:rsidR="002B013A">
        <w:rPr>
          <w:rFonts w:ascii="Times New Roman" w:hAnsi="Times New Roman"/>
          <w:sz w:val="24"/>
          <w:szCs w:val="24"/>
        </w:rPr>
        <w:t>. This is ideally the case for sequential bilinguals</w:t>
      </w:r>
      <w:r>
        <w:rPr>
          <w:rFonts w:ascii="Times New Roman" w:hAnsi="Times New Roman"/>
          <w:sz w:val="24"/>
          <w:szCs w:val="24"/>
        </w:rPr>
        <w:t xml:space="preserve"> unless there is a traumatic reason for </w:t>
      </w:r>
      <w:r w:rsidR="002B013A">
        <w:rPr>
          <w:rFonts w:ascii="Times New Roman" w:hAnsi="Times New Roman"/>
          <w:sz w:val="24"/>
          <w:szCs w:val="24"/>
        </w:rPr>
        <w:t xml:space="preserve">a </w:t>
      </w:r>
      <w:r>
        <w:rPr>
          <w:rFonts w:ascii="Times New Roman" w:hAnsi="Times New Roman"/>
          <w:sz w:val="24"/>
          <w:szCs w:val="24"/>
        </w:rPr>
        <w:t>switch</w:t>
      </w:r>
      <w:r w:rsidR="002B013A">
        <w:rPr>
          <w:rFonts w:ascii="Times New Roman" w:hAnsi="Times New Roman"/>
          <w:sz w:val="24"/>
          <w:szCs w:val="24"/>
        </w:rPr>
        <w:t>,</w:t>
      </w:r>
      <w:r>
        <w:rPr>
          <w:rFonts w:ascii="Times New Roman" w:hAnsi="Times New Roman"/>
          <w:sz w:val="24"/>
          <w:szCs w:val="24"/>
        </w:rPr>
        <w:t xml:space="preserve"> or the first language is no longer relevant for opportunities which the bilingual craves. Even at that, there is bound to be a sentimental attachment to the first language.</w:t>
      </w:r>
    </w:p>
    <w:p w14:paraId="636CEECE" w14:textId="77777777" w:rsidR="00C7464A" w:rsidRDefault="00C7464A" w:rsidP="00196624">
      <w:pPr>
        <w:spacing w:beforeLines="50" w:before="120" w:afterLines="50" w:after="120" w:line="240" w:lineRule="auto"/>
        <w:jc w:val="both"/>
        <w:rPr>
          <w:rFonts w:ascii="Times New Roman" w:hAnsi="Times New Roman"/>
          <w:sz w:val="24"/>
          <w:szCs w:val="24"/>
        </w:rPr>
      </w:pPr>
    </w:p>
    <w:p w14:paraId="65124514" w14:textId="77777777" w:rsidR="00D426D1" w:rsidRPr="00FC2F3A" w:rsidRDefault="00D426D1" w:rsidP="0004578D">
      <w:pPr>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References</w:t>
      </w:r>
    </w:p>
    <w:p w14:paraId="08F0EDDB" w14:textId="307181D9" w:rsidR="00D426D1" w:rsidRDefault="00A4679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XXXXX</w:t>
      </w:r>
      <w:r w:rsidR="00D426D1">
        <w:rPr>
          <w:rFonts w:ascii="Times New Roman" w:hAnsi="Times New Roman"/>
          <w:sz w:val="24"/>
          <w:szCs w:val="24"/>
        </w:rPr>
        <w:t xml:space="preserve">, </w:t>
      </w:r>
      <w:r>
        <w:rPr>
          <w:rFonts w:ascii="Times New Roman" w:hAnsi="Times New Roman"/>
          <w:sz w:val="24"/>
          <w:szCs w:val="24"/>
        </w:rPr>
        <w:t>XXXXX</w:t>
      </w:r>
      <w:r w:rsidR="00D426D1">
        <w:rPr>
          <w:rFonts w:ascii="Times New Roman" w:hAnsi="Times New Roman"/>
          <w:sz w:val="24"/>
          <w:szCs w:val="24"/>
        </w:rPr>
        <w:t xml:space="preserve"> (2003). Multilingualism and National Development. In ‘Lekan Oyeleye &amp; Moji </w:t>
      </w:r>
      <w:r w:rsidR="00D426D1">
        <w:rPr>
          <w:rFonts w:ascii="Times New Roman" w:hAnsi="Times New Roman"/>
          <w:sz w:val="24"/>
          <w:szCs w:val="24"/>
        </w:rPr>
        <w:tab/>
      </w:r>
      <w:r w:rsidR="00D426D1">
        <w:rPr>
          <w:rFonts w:ascii="Times New Roman" w:hAnsi="Times New Roman"/>
          <w:sz w:val="24"/>
          <w:szCs w:val="24"/>
        </w:rPr>
        <w:tab/>
        <w:t xml:space="preserve">Olateju (Eds.). </w:t>
      </w:r>
      <w:r w:rsidR="00D426D1">
        <w:rPr>
          <w:rFonts w:ascii="Times New Roman" w:hAnsi="Times New Roman"/>
          <w:i/>
          <w:sz w:val="24"/>
          <w:szCs w:val="24"/>
        </w:rPr>
        <w:t>Readings in Language and Literature</w:t>
      </w:r>
      <w:r w:rsidR="00D426D1">
        <w:rPr>
          <w:rFonts w:ascii="Times New Roman" w:hAnsi="Times New Roman"/>
          <w:sz w:val="24"/>
          <w:szCs w:val="24"/>
        </w:rPr>
        <w:t xml:space="preserve"> (First Edition), 153-167. Ile-Ife: </w:t>
      </w:r>
      <w:r w:rsidR="00D426D1">
        <w:rPr>
          <w:rFonts w:ascii="Times New Roman" w:hAnsi="Times New Roman"/>
          <w:sz w:val="24"/>
          <w:szCs w:val="24"/>
        </w:rPr>
        <w:tab/>
      </w:r>
      <w:r w:rsidR="00D426D1">
        <w:rPr>
          <w:rFonts w:ascii="Times New Roman" w:hAnsi="Times New Roman"/>
          <w:sz w:val="24"/>
          <w:szCs w:val="24"/>
        </w:rPr>
        <w:tab/>
        <w:t>OAU Press.</w:t>
      </w:r>
    </w:p>
    <w:p w14:paraId="1DE19904" w14:textId="3CDAE654" w:rsidR="00D426D1" w:rsidRDefault="00A4679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XXXXX</w:t>
      </w:r>
      <w:r w:rsidR="00D426D1">
        <w:rPr>
          <w:rFonts w:ascii="Times New Roman" w:hAnsi="Times New Roman"/>
          <w:sz w:val="24"/>
          <w:szCs w:val="24"/>
        </w:rPr>
        <w:t xml:space="preserve">, </w:t>
      </w:r>
      <w:r>
        <w:rPr>
          <w:rFonts w:ascii="Times New Roman" w:hAnsi="Times New Roman"/>
          <w:sz w:val="24"/>
          <w:szCs w:val="24"/>
        </w:rPr>
        <w:t>XXXXX</w:t>
      </w:r>
      <w:r w:rsidR="00D426D1">
        <w:rPr>
          <w:rFonts w:ascii="Times New Roman" w:hAnsi="Times New Roman"/>
          <w:sz w:val="24"/>
          <w:szCs w:val="24"/>
        </w:rPr>
        <w:t xml:space="preserve"> </w:t>
      </w:r>
      <w:bookmarkStart w:id="4" w:name="_GoBack"/>
      <w:bookmarkEnd w:id="4"/>
      <w:r w:rsidR="00D426D1">
        <w:rPr>
          <w:rFonts w:ascii="Times New Roman" w:hAnsi="Times New Roman"/>
          <w:sz w:val="24"/>
          <w:szCs w:val="24"/>
        </w:rPr>
        <w:t xml:space="preserve">(2014). </w:t>
      </w:r>
      <w:r w:rsidR="00D426D1" w:rsidRPr="00FC4EB2">
        <w:rPr>
          <w:rFonts w:ascii="Times New Roman" w:hAnsi="Times New Roman"/>
          <w:sz w:val="24"/>
          <w:szCs w:val="24"/>
        </w:rPr>
        <w:t xml:space="preserve">A Semiotic Analysis of Inscriptions on the T- Shirts of </w:t>
      </w:r>
      <w:r w:rsidR="00D426D1">
        <w:rPr>
          <w:rFonts w:ascii="Times New Roman" w:hAnsi="Times New Roman"/>
          <w:sz w:val="24"/>
          <w:szCs w:val="24"/>
        </w:rPr>
        <w:tab/>
      </w:r>
      <w:r w:rsidR="00D426D1" w:rsidRPr="00FC4EB2">
        <w:rPr>
          <w:rFonts w:ascii="Times New Roman" w:hAnsi="Times New Roman"/>
          <w:sz w:val="24"/>
          <w:szCs w:val="24"/>
        </w:rPr>
        <w:tab/>
        <w:t>Students from Selected Universities in Southwest Nigeria</w:t>
      </w:r>
      <w:r w:rsidR="00D426D1" w:rsidRPr="00B04DF7">
        <w:rPr>
          <w:rFonts w:ascii="Times New Roman" w:hAnsi="Times New Roman"/>
          <w:sz w:val="24"/>
          <w:szCs w:val="24"/>
        </w:rPr>
        <w:t>.</w:t>
      </w:r>
      <w:r w:rsidR="00D426D1">
        <w:rPr>
          <w:rFonts w:ascii="Times New Roman" w:hAnsi="Times New Roman"/>
          <w:sz w:val="24"/>
          <w:szCs w:val="24"/>
        </w:rPr>
        <w:t xml:space="preserve"> Paper presented at the 14th</w:t>
      </w:r>
      <w:r w:rsidR="00D426D1">
        <w:rPr>
          <w:rFonts w:ascii="Times New Roman" w:hAnsi="Times New Roman"/>
          <w:sz w:val="24"/>
          <w:szCs w:val="24"/>
        </w:rPr>
        <w:tab/>
        <w:t>International Pragmatics Conference, Antwerp, Belgium. July 26-31, 2015</w:t>
      </w:r>
      <w:r w:rsidR="00D426D1" w:rsidRPr="00B04DF7">
        <w:rPr>
          <w:rFonts w:ascii="Times New Roman" w:hAnsi="Times New Roman"/>
          <w:sz w:val="24"/>
          <w:szCs w:val="24"/>
        </w:rPr>
        <w:t>.</w:t>
      </w:r>
    </w:p>
    <w:p w14:paraId="72B7F99A" w14:textId="68C3DBFA" w:rsidR="00D4747A" w:rsidRDefault="00A4679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XXXXX</w:t>
      </w:r>
      <w:r w:rsidR="00D4747A">
        <w:rPr>
          <w:rFonts w:ascii="Times New Roman" w:hAnsi="Times New Roman"/>
          <w:sz w:val="24"/>
          <w:szCs w:val="24"/>
        </w:rPr>
        <w:t xml:space="preserve">, </w:t>
      </w:r>
      <w:r>
        <w:rPr>
          <w:rFonts w:ascii="Times New Roman" w:hAnsi="Times New Roman"/>
          <w:sz w:val="24"/>
          <w:szCs w:val="24"/>
        </w:rPr>
        <w:t>XXXXX</w:t>
      </w:r>
      <w:r w:rsidR="00D4747A">
        <w:rPr>
          <w:rFonts w:ascii="Times New Roman" w:hAnsi="Times New Roman"/>
          <w:sz w:val="24"/>
          <w:szCs w:val="24"/>
        </w:rPr>
        <w:t xml:space="preserve"> (2016). Language Policy and National Integration: A </w:t>
      </w:r>
      <w:r w:rsidR="00D4747A">
        <w:rPr>
          <w:rFonts w:ascii="Times New Roman" w:hAnsi="Times New Roman"/>
          <w:sz w:val="24"/>
          <w:szCs w:val="24"/>
        </w:rPr>
        <w:tab/>
        <w:t xml:space="preserve">Case Study of Language Identity and Attitudes of Staff of Adekunle Ajasin University, </w:t>
      </w:r>
      <w:r w:rsidR="00D4747A">
        <w:rPr>
          <w:rFonts w:ascii="Times New Roman" w:hAnsi="Times New Roman"/>
          <w:sz w:val="24"/>
          <w:szCs w:val="24"/>
        </w:rPr>
        <w:tab/>
        <w:t>Akungba-Akoko, Nigeria</w:t>
      </w:r>
      <w:r w:rsidR="00913619">
        <w:rPr>
          <w:rFonts w:ascii="Times New Roman" w:hAnsi="Times New Roman"/>
          <w:sz w:val="24"/>
          <w:szCs w:val="24"/>
        </w:rPr>
        <w:t xml:space="preserve">. In Akin Odebunmi and Kehinde Ayoola (Eds). </w:t>
      </w:r>
      <w:r w:rsidR="00913619">
        <w:rPr>
          <w:rFonts w:ascii="Times New Roman" w:hAnsi="Times New Roman"/>
          <w:i/>
          <w:sz w:val="24"/>
          <w:szCs w:val="24"/>
        </w:rPr>
        <w:t xml:space="preserve">Language, </w:t>
      </w:r>
      <w:r w:rsidR="00913619">
        <w:rPr>
          <w:rFonts w:ascii="Times New Roman" w:hAnsi="Times New Roman"/>
          <w:i/>
          <w:sz w:val="24"/>
          <w:szCs w:val="24"/>
        </w:rPr>
        <w:tab/>
        <w:t xml:space="preserve">Context and Society: A Festchrift for </w:t>
      </w:r>
      <w:r>
        <w:rPr>
          <w:rFonts w:ascii="Times New Roman" w:hAnsi="Times New Roman"/>
          <w:i/>
          <w:sz w:val="24"/>
          <w:szCs w:val="24"/>
        </w:rPr>
        <w:t>XXXXX</w:t>
      </w:r>
      <w:r w:rsidR="00913619">
        <w:rPr>
          <w:rFonts w:ascii="Times New Roman" w:hAnsi="Times New Roman"/>
          <w:i/>
          <w:sz w:val="24"/>
          <w:szCs w:val="24"/>
        </w:rPr>
        <w:t xml:space="preserve"> </w:t>
      </w:r>
      <w:r w:rsidR="005164B3">
        <w:rPr>
          <w:rFonts w:ascii="Times New Roman" w:hAnsi="Times New Roman"/>
          <w:i/>
          <w:sz w:val="24"/>
          <w:szCs w:val="24"/>
        </w:rPr>
        <w:t>XXXXX</w:t>
      </w:r>
      <w:r w:rsidR="00913619">
        <w:rPr>
          <w:rFonts w:ascii="Times New Roman" w:hAnsi="Times New Roman"/>
          <w:i/>
          <w:sz w:val="24"/>
          <w:szCs w:val="24"/>
        </w:rPr>
        <w:t xml:space="preserve">. </w:t>
      </w:r>
      <w:r w:rsidR="00913619">
        <w:rPr>
          <w:rFonts w:ascii="Times New Roman" w:hAnsi="Times New Roman"/>
          <w:sz w:val="24"/>
          <w:szCs w:val="24"/>
        </w:rPr>
        <w:t>417-439. Ile-Ife: OAU Press.</w:t>
      </w:r>
    </w:p>
    <w:p w14:paraId="16EF9045" w14:textId="77777777" w:rsidR="00817940" w:rsidRDefault="00817940" w:rsidP="0004578D">
      <w:pPr>
        <w:pStyle w:val="Default"/>
        <w:jc w:val="both"/>
      </w:pPr>
      <w:r>
        <w:t xml:space="preserve">Adriosh, Mohamed and Razi, Ozge (2016). Investigating Nigerian University Students’ </w:t>
      </w:r>
      <w:r>
        <w:tab/>
        <w:t xml:space="preserve">Perception Towards English Language Dominance over their Indigenous Languages. </w:t>
      </w:r>
      <w:r>
        <w:rPr>
          <w:i/>
        </w:rPr>
        <w:t>The</w:t>
      </w:r>
      <w:r>
        <w:rPr>
          <w:i/>
        </w:rPr>
        <w:tab/>
      </w:r>
      <w:r>
        <w:rPr>
          <w:i/>
        </w:rPr>
        <w:tab/>
        <w:t xml:space="preserve"> Eurasia Proceedings of Educational and Social Sciences (EPESS), 2016. </w:t>
      </w:r>
      <w:r>
        <w:t xml:space="preserve">Volume 5, </w:t>
      </w:r>
      <w:r>
        <w:tab/>
        <w:t>206-213</w:t>
      </w:r>
      <w:r w:rsidR="002C5B9E">
        <w:t>.</w:t>
      </w:r>
      <w:r>
        <w:t xml:space="preserve"> </w:t>
      </w:r>
    </w:p>
    <w:p w14:paraId="7F7E5C56" w14:textId="77777777" w:rsidR="00620AE2" w:rsidRDefault="00620AE2" w:rsidP="0004578D">
      <w:pPr>
        <w:pStyle w:val="Default"/>
        <w:jc w:val="both"/>
      </w:pPr>
      <w:r>
        <w:t xml:space="preserve">Baker, C. (2003). Foundations of bilingual education and bilingualism. 5th ed. Clevedon </w:t>
      </w:r>
      <w:r>
        <w:tab/>
        <w:t>England: Multilingual Matters Ltd.</w:t>
      </w:r>
    </w:p>
    <w:p w14:paraId="2DA95511" w14:textId="77777777" w:rsidR="00692A5B" w:rsidRDefault="00692A5B" w:rsidP="0004578D">
      <w:pPr>
        <w:pStyle w:val="Default"/>
        <w:jc w:val="both"/>
      </w:pPr>
      <w:r>
        <w:t xml:space="preserve">Baker C. (2007). A Parents and Teachers Guide to Bilingualism. Clevedon: Multilingual Matters </w:t>
      </w:r>
      <w:r>
        <w:tab/>
        <w:t>Ltd.</w:t>
      </w:r>
    </w:p>
    <w:p w14:paraId="54313089" w14:textId="77777777" w:rsidR="00D426D1" w:rsidRDefault="00D426D1" w:rsidP="0004578D">
      <w:pPr>
        <w:pStyle w:val="Default"/>
        <w:jc w:val="both"/>
      </w:pPr>
      <w:r w:rsidRPr="0037076E">
        <w:lastRenderedPageBreak/>
        <w:t>Bell, R. T. (1976). Sociolinguistics: Goals, Approaches and Problems. London: Batsford.</w:t>
      </w:r>
    </w:p>
    <w:p w14:paraId="7E1FDCEB"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Berlin B, Kay P (1969). </w:t>
      </w:r>
      <w:r>
        <w:rPr>
          <w:rFonts w:ascii="Times New Roman" w:hAnsi="Times New Roman"/>
          <w:i/>
          <w:sz w:val="24"/>
          <w:szCs w:val="24"/>
        </w:rPr>
        <w:t>Basic Color Terms: Their Universality and Evolution</w:t>
      </w:r>
      <w:r>
        <w:rPr>
          <w:rFonts w:ascii="Times New Roman" w:hAnsi="Times New Roman"/>
          <w:sz w:val="24"/>
          <w:szCs w:val="24"/>
        </w:rPr>
        <w:t>. Berkeley:</w:t>
      </w:r>
      <w:r>
        <w:rPr>
          <w:rFonts w:ascii="Times New Roman" w:hAnsi="Times New Roman"/>
          <w:sz w:val="24"/>
          <w:szCs w:val="24"/>
        </w:rPr>
        <w:tab/>
        <w:t>University of California Press.</w:t>
      </w:r>
    </w:p>
    <w:p w14:paraId="276B2BD1" w14:textId="77777777" w:rsidR="00321E0F" w:rsidRPr="00321E0F" w:rsidRDefault="00321E0F"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Bertram, R., Schreuder, R., and Bayeen, R (2000). The balance of storage and computation in</w:t>
      </w:r>
      <w:r>
        <w:rPr>
          <w:rFonts w:ascii="Times New Roman" w:hAnsi="Times New Roman"/>
          <w:sz w:val="24"/>
          <w:szCs w:val="24"/>
        </w:rPr>
        <w:tab/>
      </w:r>
      <w:r>
        <w:rPr>
          <w:rFonts w:ascii="Times New Roman" w:hAnsi="Times New Roman"/>
          <w:sz w:val="24"/>
          <w:szCs w:val="24"/>
        </w:rPr>
        <w:tab/>
        <w:t xml:space="preserve"> morphological processing: The role of word formation type, affixal homonymy and </w:t>
      </w:r>
      <w:r>
        <w:rPr>
          <w:rFonts w:ascii="Times New Roman" w:hAnsi="Times New Roman"/>
          <w:sz w:val="24"/>
          <w:szCs w:val="24"/>
        </w:rPr>
        <w:tab/>
        <w:t xml:space="preserve">productivity. </w:t>
      </w:r>
      <w:r>
        <w:rPr>
          <w:rFonts w:ascii="Times New Roman" w:hAnsi="Times New Roman"/>
          <w:i/>
          <w:sz w:val="24"/>
          <w:szCs w:val="24"/>
        </w:rPr>
        <w:t xml:space="preserve">Journal of Experimental Psychology. </w:t>
      </w:r>
      <w:r>
        <w:rPr>
          <w:rFonts w:ascii="Times New Roman" w:hAnsi="Times New Roman"/>
          <w:sz w:val="24"/>
          <w:szCs w:val="24"/>
        </w:rPr>
        <w:t xml:space="preserve">Learning, Memory and Cognition 26: </w:t>
      </w:r>
      <w:r>
        <w:rPr>
          <w:rFonts w:ascii="Times New Roman" w:hAnsi="Times New Roman"/>
          <w:sz w:val="24"/>
          <w:szCs w:val="24"/>
        </w:rPr>
        <w:tab/>
        <w:t>489-511</w:t>
      </w:r>
    </w:p>
    <w:p w14:paraId="557CC1EC"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Bohon, K.S; Hermann, K.L; Hansen T; Conway, B.R. (2016). Representation of perceptual color </w:t>
      </w:r>
      <w:r>
        <w:rPr>
          <w:rFonts w:ascii="Times New Roman" w:hAnsi="Times New Roman"/>
          <w:sz w:val="24"/>
          <w:szCs w:val="24"/>
        </w:rPr>
        <w:tab/>
        <w:t>space in macaque posterior inferior temporal cortex (the V4 complex). E Neuro 3:1-28</w:t>
      </w:r>
    </w:p>
    <w:p w14:paraId="2E286223"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Butler, Yuko (2013). Bilingualism/ Multilingualism and Second-Language Acquisition In Tej K. </w:t>
      </w:r>
      <w:r>
        <w:rPr>
          <w:rFonts w:ascii="Times New Roman" w:hAnsi="Times New Roman"/>
          <w:sz w:val="24"/>
          <w:szCs w:val="24"/>
        </w:rPr>
        <w:tab/>
        <w:t xml:space="preserve">Bhatia &amp; William C. Ritchie (Eds.). </w:t>
      </w:r>
      <w:r w:rsidRPr="001864AA">
        <w:rPr>
          <w:rFonts w:ascii="Times New Roman" w:hAnsi="Times New Roman"/>
          <w:i/>
          <w:sz w:val="24"/>
          <w:szCs w:val="24"/>
        </w:rPr>
        <w:t xml:space="preserve">The Handbook of Bilingualism and Multilingualism </w:t>
      </w:r>
      <w:r>
        <w:rPr>
          <w:rFonts w:ascii="Times New Roman" w:hAnsi="Times New Roman"/>
          <w:sz w:val="24"/>
          <w:szCs w:val="24"/>
        </w:rPr>
        <w:tab/>
      </w:r>
      <w:r w:rsidRPr="001864AA">
        <w:rPr>
          <w:rFonts w:ascii="Times New Roman" w:hAnsi="Times New Roman"/>
          <w:i/>
          <w:sz w:val="24"/>
          <w:szCs w:val="24"/>
        </w:rPr>
        <w:t>(Second Edition),</w:t>
      </w:r>
      <w:r>
        <w:rPr>
          <w:rFonts w:ascii="Times New Roman" w:hAnsi="Times New Roman"/>
          <w:sz w:val="24"/>
          <w:szCs w:val="24"/>
        </w:rPr>
        <w:t xml:space="preserve"> 5-25. Malden, MA: Wiley-Blackwell.</w:t>
      </w:r>
    </w:p>
    <w:p w14:paraId="5E49A5AA" w14:textId="77777777" w:rsidR="00692A5B" w:rsidRPr="00692A5B" w:rsidRDefault="00692A5B"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Cenoz, Jasone (2013). Defining Multilingualism. In </w:t>
      </w:r>
      <w:r>
        <w:rPr>
          <w:rFonts w:ascii="Times New Roman" w:hAnsi="Times New Roman"/>
          <w:i/>
          <w:sz w:val="24"/>
          <w:szCs w:val="24"/>
        </w:rPr>
        <w:t>Annual Review of Applied Linguistics</w:t>
      </w:r>
      <w:r w:rsidRPr="00692A5B">
        <w:rPr>
          <w:rFonts w:ascii="Times New Roman" w:hAnsi="Times New Roman"/>
          <w:i/>
          <w:sz w:val="24"/>
          <w:szCs w:val="24"/>
        </w:rPr>
        <w:t>.</w:t>
      </w:r>
      <w:r>
        <w:rPr>
          <w:rFonts w:ascii="Times New Roman" w:hAnsi="Times New Roman"/>
          <w:i/>
          <w:sz w:val="24"/>
          <w:szCs w:val="24"/>
        </w:rPr>
        <w:tab/>
      </w:r>
      <w:r>
        <w:rPr>
          <w:rFonts w:ascii="Times New Roman" w:hAnsi="Times New Roman"/>
          <w:i/>
          <w:sz w:val="24"/>
          <w:szCs w:val="24"/>
        </w:rPr>
        <w:tab/>
      </w:r>
      <w:r w:rsidRPr="00692A5B">
        <w:rPr>
          <w:rFonts w:ascii="Times New Roman" w:hAnsi="Times New Roman"/>
          <w:i/>
          <w:sz w:val="24"/>
          <w:szCs w:val="24"/>
        </w:rPr>
        <w:t xml:space="preserve"> </w:t>
      </w:r>
      <w:r w:rsidRPr="00692A5B">
        <w:rPr>
          <w:rFonts w:ascii="Times New Roman" w:hAnsi="Times New Roman"/>
          <w:sz w:val="24"/>
          <w:szCs w:val="24"/>
          <w:shd w:val="clear" w:color="auto" w:fill="FFFFFF"/>
        </w:rPr>
        <w:t>DOI: 10.1017/S026719051300007X</w:t>
      </w:r>
      <w:r w:rsidR="00E94F3C">
        <w:rPr>
          <w:rFonts w:ascii="Times New Roman" w:hAnsi="Times New Roman"/>
          <w:sz w:val="24"/>
          <w:szCs w:val="24"/>
          <w:shd w:val="clear" w:color="auto" w:fill="FFFFFF"/>
        </w:rPr>
        <w:t xml:space="preserve"> </w:t>
      </w:r>
    </w:p>
    <w:p w14:paraId="4A655980" w14:textId="5C0A17E3"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Danesi, M. (2004). </w:t>
      </w:r>
      <w:r>
        <w:rPr>
          <w:rFonts w:ascii="Times New Roman" w:hAnsi="Times New Roman"/>
          <w:i/>
          <w:sz w:val="24"/>
          <w:szCs w:val="24"/>
        </w:rPr>
        <w:t xml:space="preserve">Messages, Signs and Meaning: A Basic Textbook in Semiotics and </w:t>
      </w:r>
      <w:r>
        <w:rPr>
          <w:rFonts w:ascii="Times New Roman" w:hAnsi="Times New Roman"/>
          <w:i/>
          <w:sz w:val="24"/>
          <w:szCs w:val="24"/>
        </w:rPr>
        <w:tab/>
        <w:t xml:space="preserve">Communication Theory. </w:t>
      </w:r>
      <w:r>
        <w:rPr>
          <w:rFonts w:ascii="Times New Roman" w:hAnsi="Times New Roman"/>
          <w:sz w:val="24"/>
          <w:szCs w:val="24"/>
        </w:rPr>
        <w:t>Toronto: Canada Scholars Press.</w:t>
      </w:r>
    </w:p>
    <w:p w14:paraId="5128096E" w14:textId="65FCCF1F" w:rsidR="00F94C57" w:rsidRDefault="00F94C57" w:rsidP="00F94C57">
      <w:pPr>
        <w:rPr>
          <w:rFonts w:ascii="Times New Roman" w:hAnsi="Times New Roman"/>
          <w:sz w:val="24"/>
          <w:szCs w:val="24"/>
        </w:rPr>
      </w:pPr>
      <w:r w:rsidRPr="002D6814">
        <w:rPr>
          <w:rFonts w:ascii="Times New Roman" w:hAnsi="Times New Roman"/>
          <w:sz w:val="24"/>
          <w:szCs w:val="24"/>
        </w:rPr>
        <w:t>Davidoff, J. (2001). Language and perceptual categori</w:t>
      </w:r>
      <w:r>
        <w:rPr>
          <w:rFonts w:ascii="Times New Roman" w:hAnsi="Times New Roman"/>
          <w:sz w:val="24"/>
          <w:szCs w:val="24"/>
        </w:rPr>
        <w:t>z</w:t>
      </w:r>
      <w:r w:rsidRPr="002D6814">
        <w:rPr>
          <w:rFonts w:ascii="Times New Roman" w:hAnsi="Times New Roman"/>
          <w:sz w:val="24"/>
          <w:szCs w:val="24"/>
        </w:rPr>
        <w:t>ation.</w:t>
      </w:r>
      <w:r>
        <w:rPr>
          <w:rFonts w:ascii="Times New Roman" w:hAnsi="Times New Roman"/>
          <w:sz w:val="24"/>
          <w:szCs w:val="24"/>
        </w:rPr>
        <w:t xml:space="preserve"> </w:t>
      </w:r>
      <w:r w:rsidRPr="002D6814">
        <w:rPr>
          <w:rFonts w:ascii="Times New Roman" w:hAnsi="Times New Roman"/>
          <w:i/>
          <w:sz w:val="24"/>
          <w:szCs w:val="24"/>
        </w:rPr>
        <w:t>Trends in Cognitive Sciences</w:t>
      </w:r>
      <w:r w:rsidRPr="002D6814">
        <w:rPr>
          <w:rFonts w:ascii="Times New Roman" w:hAnsi="Times New Roman"/>
          <w:sz w:val="24"/>
          <w:szCs w:val="24"/>
        </w:rPr>
        <w:t xml:space="preserve">,5(9), </w:t>
      </w:r>
      <w:r>
        <w:rPr>
          <w:rFonts w:ascii="Times New Roman" w:hAnsi="Times New Roman"/>
          <w:sz w:val="24"/>
          <w:szCs w:val="24"/>
        </w:rPr>
        <w:tab/>
      </w:r>
      <w:r w:rsidRPr="002D6814">
        <w:rPr>
          <w:rFonts w:ascii="Times New Roman" w:hAnsi="Times New Roman"/>
          <w:sz w:val="24"/>
          <w:szCs w:val="24"/>
        </w:rPr>
        <w:t>382–387.doi:10.1016/s1364-6613(00)01726-</w:t>
      </w:r>
      <w:r>
        <w:rPr>
          <w:rFonts w:ascii="Times New Roman" w:hAnsi="Times New Roman"/>
          <w:sz w:val="24"/>
          <w:szCs w:val="24"/>
        </w:rPr>
        <w:t>5</w:t>
      </w:r>
    </w:p>
    <w:p w14:paraId="2D276F2C"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Edwards, John (2013). Bilingualism and Multilingualism: Some Central Concepts. In Tej K. </w:t>
      </w:r>
      <w:r>
        <w:rPr>
          <w:rFonts w:ascii="Times New Roman" w:hAnsi="Times New Roman"/>
          <w:sz w:val="24"/>
          <w:szCs w:val="24"/>
        </w:rPr>
        <w:tab/>
        <w:t xml:space="preserve">Bhatia &amp; William C. Ritchie (Eds.). </w:t>
      </w:r>
      <w:r w:rsidRPr="001278F2">
        <w:rPr>
          <w:rFonts w:ascii="Times New Roman" w:hAnsi="Times New Roman"/>
          <w:i/>
          <w:sz w:val="24"/>
          <w:szCs w:val="24"/>
        </w:rPr>
        <w:t>The Handbook of Bilingualism and Multilingualism</w:t>
      </w:r>
      <w:r>
        <w:rPr>
          <w:rFonts w:ascii="Times New Roman" w:hAnsi="Times New Roman"/>
          <w:sz w:val="24"/>
          <w:szCs w:val="24"/>
        </w:rPr>
        <w:t xml:space="preserve"> </w:t>
      </w:r>
      <w:r>
        <w:rPr>
          <w:rFonts w:ascii="Times New Roman" w:hAnsi="Times New Roman"/>
          <w:sz w:val="24"/>
          <w:szCs w:val="24"/>
        </w:rPr>
        <w:tab/>
        <w:t>(Second Edition), 5-25. Malden, MA: Wiley-Blackwell.</w:t>
      </w:r>
    </w:p>
    <w:p w14:paraId="5CE0C57F" w14:textId="77777777" w:rsidR="00EB3B30" w:rsidRPr="00EB3B30" w:rsidRDefault="00EB3B30" w:rsidP="0004578D">
      <w:pPr>
        <w:spacing w:beforeLines="50" w:before="120" w:afterLines="50" w:after="120" w:line="240" w:lineRule="auto"/>
        <w:jc w:val="both"/>
        <w:rPr>
          <w:rFonts w:ascii="Times New Roman" w:hAnsi="Times New Roman"/>
          <w:sz w:val="24"/>
          <w:szCs w:val="24"/>
        </w:rPr>
      </w:pPr>
      <w:r w:rsidRPr="00EB3B30">
        <w:rPr>
          <w:rFonts w:ascii="Times New Roman" w:hAnsi="Times New Roman"/>
          <w:sz w:val="24"/>
          <w:szCs w:val="24"/>
        </w:rPr>
        <w:t xml:space="preserve">Engen T. &amp; Kulbrandstad L. (2004). Tospråklighet, minoritetsspråk og minoritetsundervisning. </w:t>
      </w:r>
      <w:r>
        <w:rPr>
          <w:rFonts w:ascii="Times New Roman" w:hAnsi="Times New Roman"/>
          <w:sz w:val="24"/>
          <w:szCs w:val="24"/>
        </w:rPr>
        <w:tab/>
      </w:r>
      <w:r w:rsidRPr="00EB3B30">
        <w:rPr>
          <w:rFonts w:ascii="Times New Roman" w:hAnsi="Times New Roman"/>
          <w:sz w:val="24"/>
          <w:szCs w:val="24"/>
        </w:rPr>
        <w:t>Oslo: Gyldendal Norsk Forlag.</w:t>
      </w:r>
    </w:p>
    <w:p w14:paraId="36058329" w14:textId="77777777" w:rsidR="00817940" w:rsidRDefault="00817940" w:rsidP="0004578D">
      <w:pPr>
        <w:spacing w:beforeLines="50" w:before="120" w:afterLines="50" w:after="120" w:line="240" w:lineRule="auto"/>
        <w:jc w:val="both"/>
        <w:rPr>
          <w:rFonts w:ascii="Times New Roman" w:hAnsi="Times New Roman"/>
          <w:sz w:val="24"/>
          <w:szCs w:val="24"/>
        </w:rPr>
      </w:pPr>
      <w:r w:rsidRPr="00914488">
        <w:rPr>
          <w:rFonts w:ascii="Times New Roman" w:hAnsi="Times New Roman"/>
          <w:sz w:val="24"/>
          <w:szCs w:val="24"/>
        </w:rPr>
        <w:t>Fairclough, N. (1989) Language and Power, Harlow Longman.</w:t>
      </w:r>
    </w:p>
    <w:p w14:paraId="0C859690"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Genesee, Fred; Hammers, Josiane; Lambert, Wallace E; Mononen, L.; Seitz, M. and Stark, R. </w:t>
      </w:r>
      <w:r>
        <w:rPr>
          <w:rFonts w:ascii="Times New Roman" w:hAnsi="Times New Roman"/>
          <w:sz w:val="24"/>
          <w:szCs w:val="24"/>
        </w:rPr>
        <w:tab/>
        <w:t xml:space="preserve">(1978). Language processing in bilinguals. </w:t>
      </w:r>
      <w:r>
        <w:rPr>
          <w:rFonts w:ascii="Times New Roman" w:hAnsi="Times New Roman"/>
          <w:i/>
          <w:sz w:val="24"/>
          <w:szCs w:val="24"/>
        </w:rPr>
        <w:t xml:space="preserve">Brain and Language </w:t>
      </w:r>
      <w:r>
        <w:rPr>
          <w:rFonts w:ascii="Times New Roman" w:hAnsi="Times New Roman"/>
          <w:sz w:val="24"/>
          <w:szCs w:val="24"/>
        </w:rPr>
        <w:t>5:1-12.</w:t>
      </w:r>
    </w:p>
    <w:p w14:paraId="7BEDBD8B" w14:textId="77777777" w:rsidR="00817940" w:rsidRPr="00817940" w:rsidRDefault="00817940" w:rsidP="0004578D">
      <w:pPr>
        <w:spacing w:beforeLines="50" w:before="120" w:afterLines="50" w:after="120" w:line="240" w:lineRule="auto"/>
        <w:jc w:val="both"/>
        <w:rPr>
          <w:rFonts w:ascii="Times New Roman" w:hAnsi="Times New Roman"/>
          <w:sz w:val="24"/>
          <w:szCs w:val="24"/>
        </w:rPr>
      </w:pPr>
      <w:r w:rsidRPr="00817940">
        <w:rPr>
          <w:rFonts w:ascii="Times New Roman" w:hAnsi="Times New Roman"/>
          <w:sz w:val="24"/>
          <w:szCs w:val="24"/>
        </w:rPr>
        <w:t>Giles, H., Bourhis, R. Y., &amp; Taylor, D. M. (1977). Towards a theory of language in ethnic group</w:t>
      </w:r>
      <w:r>
        <w:rPr>
          <w:rFonts w:ascii="Times New Roman" w:hAnsi="Times New Roman"/>
          <w:sz w:val="24"/>
          <w:szCs w:val="24"/>
        </w:rPr>
        <w:tab/>
      </w:r>
      <w:r>
        <w:rPr>
          <w:rFonts w:ascii="Times New Roman" w:hAnsi="Times New Roman"/>
          <w:sz w:val="24"/>
          <w:szCs w:val="24"/>
        </w:rPr>
        <w:tab/>
      </w:r>
      <w:r w:rsidRPr="00817940">
        <w:rPr>
          <w:rFonts w:ascii="Times New Roman" w:hAnsi="Times New Roman"/>
          <w:sz w:val="24"/>
          <w:szCs w:val="24"/>
        </w:rPr>
        <w:t xml:space="preserve"> relations. </w:t>
      </w:r>
      <w:r w:rsidRPr="00817940">
        <w:rPr>
          <w:rFonts w:ascii="Times New Roman" w:hAnsi="Times New Roman"/>
          <w:i/>
          <w:iCs/>
          <w:sz w:val="24"/>
          <w:szCs w:val="24"/>
        </w:rPr>
        <w:t>Language, ethnicity and intergroup relations</w:t>
      </w:r>
      <w:r w:rsidRPr="00817940">
        <w:rPr>
          <w:rFonts w:ascii="Times New Roman" w:hAnsi="Times New Roman"/>
          <w:sz w:val="24"/>
          <w:szCs w:val="24"/>
        </w:rPr>
        <w:t xml:space="preserve">, </w:t>
      </w:r>
      <w:r w:rsidRPr="00817940">
        <w:rPr>
          <w:rFonts w:ascii="Times New Roman" w:hAnsi="Times New Roman"/>
          <w:i/>
          <w:iCs/>
          <w:sz w:val="24"/>
          <w:szCs w:val="24"/>
        </w:rPr>
        <w:t>307348</w:t>
      </w:r>
      <w:r w:rsidRPr="00817940">
        <w:rPr>
          <w:rFonts w:ascii="Times New Roman" w:hAnsi="Times New Roman"/>
          <w:sz w:val="24"/>
          <w:szCs w:val="24"/>
        </w:rPr>
        <w:t>.</w:t>
      </w:r>
    </w:p>
    <w:p w14:paraId="6A8D7647" w14:textId="7B255161"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Goodenough, W.H. (1957). </w:t>
      </w:r>
      <w:r>
        <w:rPr>
          <w:rFonts w:ascii="Times New Roman" w:hAnsi="Times New Roman"/>
          <w:i/>
          <w:sz w:val="24"/>
          <w:szCs w:val="24"/>
        </w:rPr>
        <w:t xml:space="preserve">Cultural anthropology and linguistics. </w:t>
      </w:r>
      <w:r>
        <w:rPr>
          <w:rFonts w:ascii="Times New Roman" w:hAnsi="Times New Roman"/>
          <w:sz w:val="24"/>
          <w:szCs w:val="24"/>
        </w:rPr>
        <w:t>Washington; Georgetown</w:t>
      </w:r>
      <w:r>
        <w:rPr>
          <w:rFonts w:ascii="Times New Roman" w:hAnsi="Times New Roman"/>
          <w:sz w:val="24"/>
          <w:szCs w:val="24"/>
        </w:rPr>
        <w:tab/>
        <w:t>University Press.</w:t>
      </w:r>
    </w:p>
    <w:p w14:paraId="10890447" w14:textId="7D19AB39" w:rsidR="00DE4906" w:rsidRPr="00DE4906" w:rsidRDefault="00DE4906" w:rsidP="00DE4906">
      <w:pPr>
        <w:spacing w:beforeLines="50" w:before="120" w:afterLines="50" w:after="120" w:line="240" w:lineRule="auto"/>
        <w:jc w:val="both"/>
        <w:rPr>
          <w:rFonts w:ascii="Times New Roman" w:hAnsi="Times New Roman"/>
          <w:sz w:val="24"/>
          <w:szCs w:val="24"/>
        </w:rPr>
      </w:pPr>
      <w:r w:rsidRPr="00DE4906">
        <w:rPr>
          <w:rFonts w:ascii="Times New Roman" w:hAnsi="Times New Roman"/>
          <w:sz w:val="24"/>
          <w:szCs w:val="24"/>
        </w:rPr>
        <w:t>He</w:t>
      </w:r>
      <w:r>
        <w:rPr>
          <w:rFonts w:ascii="Times New Roman" w:hAnsi="Times New Roman"/>
          <w:sz w:val="24"/>
          <w:szCs w:val="24"/>
        </w:rPr>
        <w:t>,</w:t>
      </w:r>
      <w:r w:rsidRPr="00DE4906">
        <w:rPr>
          <w:rFonts w:ascii="Times New Roman" w:hAnsi="Times New Roman"/>
          <w:sz w:val="24"/>
          <w:szCs w:val="24"/>
        </w:rPr>
        <w:t xml:space="preserve"> Hu</w:t>
      </w:r>
      <w:r>
        <w:rPr>
          <w:rFonts w:ascii="Times New Roman" w:hAnsi="Times New Roman"/>
          <w:sz w:val="24"/>
          <w:szCs w:val="24"/>
        </w:rPr>
        <w:t>;</w:t>
      </w:r>
      <w:r w:rsidRPr="00DE4906">
        <w:rPr>
          <w:rFonts w:ascii="Times New Roman" w:hAnsi="Times New Roman"/>
          <w:sz w:val="24"/>
          <w:szCs w:val="24"/>
        </w:rPr>
        <w:t xml:space="preserve"> Li</w:t>
      </w:r>
      <w:r>
        <w:rPr>
          <w:rFonts w:ascii="Times New Roman" w:hAnsi="Times New Roman"/>
          <w:sz w:val="24"/>
          <w:szCs w:val="24"/>
        </w:rPr>
        <w:t>,</w:t>
      </w:r>
      <w:r w:rsidRPr="00DE4906">
        <w:rPr>
          <w:rFonts w:ascii="Times New Roman" w:hAnsi="Times New Roman"/>
          <w:sz w:val="24"/>
          <w:szCs w:val="24"/>
        </w:rPr>
        <w:t xml:space="preserve"> Jie</w:t>
      </w:r>
      <w:r>
        <w:rPr>
          <w:rFonts w:ascii="Times New Roman" w:hAnsi="Times New Roman"/>
          <w:sz w:val="24"/>
          <w:szCs w:val="24"/>
        </w:rPr>
        <w:t>;</w:t>
      </w:r>
      <w:r w:rsidRPr="00DE4906">
        <w:rPr>
          <w:rFonts w:ascii="Times New Roman" w:hAnsi="Times New Roman"/>
          <w:sz w:val="24"/>
          <w:szCs w:val="24"/>
        </w:rPr>
        <w:t xml:space="preserve"> Xiao</w:t>
      </w:r>
      <w:r>
        <w:rPr>
          <w:rFonts w:ascii="Times New Roman" w:hAnsi="Times New Roman"/>
          <w:sz w:val="24"/>
          <w:szCs w:val="24"/>
        </w:rPr>
        <w:t>,</w:t>
      </w:r>
      <w:r w:rsidRPr="00DE4906">
        <w:rPr>
          <w:rFonts w:ascii="Times New Roman" w:hAnsi="Times New Roman"/>
          <w:sz w:val="24"/>
          <w:szCs w:val="24"/>
        </w:rPr>
        <w:t xml:space="preserve"> Qianguo</w:t>
      </w:r>
      <w:r>
        <w:rPr>
          <w:rFonts w:ascii="Times New Roman" w:hAnsi="Times New Roman"/>
          <w:sz w:val="24"/>
          <w:szCs w:val="24"/>
        </w:rPr>
        <w:t>;</w:t>
      </w:r>
      <w:r w:rsidRPr="00DE4906">
        <w:rPr>
          <w:rFonts w:ascii="Times New Roman" w:hAnsi="Times New Roman"/>
          <w:sz w:val="24"/>
          <w:szCs w:val="24"/>
        </w:rPr>
        <w:t xml:space="preserve"> Jiang</w:t>
      </w:r>
      <w:r>
        <w:rPr>
          <w:rFonts w:ascii="Times New Roman" w:hAnsi="Times New Roman"/>
          <w:sz w:val="24"/>
          <w:szCs w:val="24"/>
        </w:rPr>
        <w:t>,</w:t>
      </w:r>
      <w:r w:rsidRPr="00DE4906">
        <w:rPr>
          <w:rFonts w:ascii="Times New Roman" w:hAnsi="Times New Roman"/>
          <w:sz w:val="24"/>
          <w:szCs w:val="24"/>
        </w:rPr>
        <w:t xml:space="preserve"> Songxiu</w:t>
      </w:r>
      <w:r>
        <w:rPr>
          <w:rFonts w:ascii="Times New Roman" w:hAnsi="Times New Roman"/>
          <w:sz w:val="24"/>
          <w:szCs w:val="24"/>
        </w:rPr>
        <w:t>;</w:t>
      </w:r>
      <w:r w:rsidRPr="00DE4906">
        <w:rPr>
          <w:rFonts w:ascii="Times New Roman" w:hAnsi="Times New Roman"/>
          <w:sz w:val="24"/>
          <w:szCs w:val="24"/>
        </w:rPr>
        <w:t xml:space="preserve"> Yang</w:t>
      </w:r>
      <w:r>
        <w:rPr>
          <w:rFonts w:ascii="Times New Roman" w:hAnsi="Times New Roman"/>
          <w:sz w:val="24"/>
          <w:szCs w:val="24"/>
        </w:rPr>
        <w:t>,</w:t>
      </w:r>
      <w:r w:rsidRPr="00DE4906">
        <w:rPr>
          <w:rFonts w:ascii="Times New Roman" w:hAnsi="Times New Roman"/>
          <w:sz w:val="24"/>
          <w:szCs w:val="24"/>
        </w:rPr>
        <w:t xml:space="preserve"> Yisheng</w:t>
      </w:r>
      <w:r>
        <w:rPr>
          <w:rFonts w:ascii="Times New Roman" w:hAnsi="Times New Roman"/>
          <w:sz w:val="24"/>
          <w:szCs w:val="24"/>
        </w:rPr>
        <w:t>; and</w:t>
      </w:r>
      <w:r w:rsidRPr="00DE4906">
        <w:rPr>
          <w:rFonts w:ascii="Times New Roman" w:hAnsi="Times New Roman"/>
          <w:sz w:val="24"/>
          <w:szCs w:val="24"/>
        </w:rPr>
        <w:t xml:space="preserve"> Zhi Sheng</w:t>
      </w:r>
      <w:r>
        <w:rPr>
          <w:rFonts w:ascii="Times New Roman" w:hAnsi="Times New Roman"/>
          <w:sz w:val="24"/>
          <w:szCs w:val="24"/>
        </w:rPr>
        <w:t xml:space="preserve"> (2019). </w:t>
      </w:r>
      <w:r w:rsidRPr="00DE4906">
        <w:rPr>
          <w:rFonts w:ascii="Times New Roman" w:hAnsi="Times New Roman"/>
          <w:sz w:val="24"/>
          <w:szCs w:val="24"/>
        </w:rPr>
        <w:t>Language</w:t>
      </w:r>
      <w:r>
        <w:rPr>
          <w:rFonts w:ascii="Times New Roman" w:hAnsi="Times New Roman"/>
          <w:sz w:val="24"/>
          <w:szCs w:val="24"/>
        </w:rPr>
        <w:tab/>
      </w:r>
      <w:r w:rsidRPr="00DE4906">
        <w:rPr>
          <w:rFonts w:ascii="Times New Roman" w:hAnsi="Times New Roman"/>
          <w:sz w:val="24"/>
          <w:szCs w:val="24"/>
        </w:rPr>
        <w:t>and Color Perception: Evidence From Mongolian and Chinese Speakers</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DE4906">
        <w:rPr>
          <w:rFonts w:ascii="Times New Roman" w:hAnsi="Times New Roman"/>
          <w:i/>
          <w:sz w:val="24"/>
          <w:szCs w:val="24"/>
        </w:rPr>
        <w:t>Frontiers in Psychology</w:t>
      </w:r>
      <w:r>
        <w:rPr>
          <w:rFonts w:ascii="Times New Roman" w:hAnsi="Times New Roman"/>
          <w:i/>
          <w:sz w:val="24"/>
          <w:szCs w:val="24"/>
        </w:rPr>
        <w:t xml:space="preserve">. </w:t>
      </w:r>
      <w:r>
        <w:rPr>
          <w:rFonts w:ascii="Times New Roman" w:hAnsi="Times New Roman"/>
          <w:sz w:val="24"/>
          <w:szCs w:val="24"/>
        </w:rPr>
        <w:t xml:space="preserve">Vol. 10: 551. </w:t>
      </w:r>
      <w:r w:rsidRPr="00DE4906">
        <w:rPr>
          <w:rFonts w:ascii="Times New Roman" w:hAnsi="Times New Roman"/>
          <w:sz w:val="24"/>
          <w:szCs w:val="24"/>
        </w:rPr>
        <w:t xml:space="preserve">DOI=10.3389/fpsyg.2019.00551    </w:t>
      </w:r>
    </w:p>
    <w:p w14:paraId="4FFF7A80" w14:textId="02D7530F" w:rsidR="00620AE2" w:rsidRDefault="00620AE2" w:rsidP="0004578D">
      <w:pPr>
        <w:spacing w:beforeLines="50" w:before="120" w:afterLines="50" w:after="120" w:line="240" w:lineRule="auto"/>
        <w:jc w:val="both"/>
        <w:rPr>
          <w:rFonts w:ascii="Times New Roman" w:hAnsi="Times New Roman"/>
          <w:sz w:val="24"/>
          <w:szCs w:val="24"/>
        </w:rPr>
      </w:pPr>
      <w:r w:rsidRPr="00620AE2">
        <w:rPr>
          <w:rFonts w:ascii="Times New Roman" w:hAnsi="Times New Roman"/>
          <w:sz w:val="24"/>
          <w:szCs w:val="24"/>
        </w:rPr>
        <w:t xml:space="preserve">Heredia, R., Cieslicka, A. B. (2014). Bilingual Memry Storage: Compound- Coordinate and </w:t>
      </w:r>
      <w:r>
        <w:rPr>
          <w:rFonts w:ascii="Times New Roman" w:hAnsi="Times New Roman"/>
          <w:sz w:val="24"/>
          <w:szCs w:val="24"/>
        </w:rPr>
        <w:tab/>
      </w:r>
      <w:r w:rsidRPr="00620AE2">
        <w:rPr>
          <w:rFonts w:ascii="Times New Roman" w:hAnsi="Times New Roman"/>
          <w:sz w:val="24"/>
          <w:szCs w:val="24"/>
        </w:rPr>
        <w:t xml:space="preserve">Derivatives. Department of Psychology and Communications, 6, 11-20.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620AE2">
        <w:rPr>
          <w:rFonts w:ascii="Times New Roman" w:hAnsi="Times New Roman"/>
          <w:sz w:val="24"/>
          <w:szCs w:val="24"/>
        </w:rPr>
        <w:t>doi: 10.1007/978-4614-9218-4</w:t>
      </w:r>
    </w:p>
    <w:p w14:paraId="03DF2481" w14:textId="77777777" w:rsidR="00F94C57" w:rsidRDefault="00F94C57" w:rsidP="00F94C57">
      <w:pPr>
        <w:rPr>
          <w:rFonts w:ascii="Times New Roman" w:hAnsi="Times New Roman"/>
          <w:sz w:val="24"/>
          <w:szCs w:val="24"/>
          <w:shd w:val="clear" w:color="auto" w:fill="FFFFFF"/>
        </w:rPr>
      </w:pPr>
      <w:r w:rsidRPr="002D6814">
        <w:rPr>
          <w:rStyle w:val="current-selection"/>
          <w:rFonts w:ascii="Times New Roman" w:hAnsi="Times New Roman"/>
          <w:sz w:val="24"/>
          <w:szCs w:val="24"/>
          <w:shd w:val="clear" w:color="auto" w:fill="FFFFFF"/>
        </w:rPr>
        <w:t>Kay, P., &amp; Kempton, W. (1984). What I</w:t>
      </w:r>
      <w:r w:rsidRPr="002D6814">
        <w:rPr>
          <w:rFonts w:ascii="Times New Roman" w:hAnsi="Times New Roman"/>
          <w:sz w:val="24"/>
          <w:szCs w:val="24"/>
          <w:shd w:val="clear" w:color="auto" w:fill="FFFFFF"/>
        </w:rPr>
        <w:t>s the Sapir-Whorf hypothesis?</w:t>
      </w:r>
      <w:r>
        <w:rPr>
          <w:rFonts w:ascii="Times New Roman" w:hAnsi="Times New Roman"/>
          <w:sz w:val="24"/>
          <w:szCs w:val="24"/>
          <w:shd w:val="clear" w:color="auto" w:fill="FFFFFF"/>
        </w:rPr>
        <w:t xml:space="preserve"> </w:t>
      </w:r>
      <w:r w:rsidRPr="002D6814">
        <w:rPr>
          <w:rFonts w:ascii="Times New Roman" w:hAnsi="Times New Roman"/>
          <w:i/>
          <w:sz w:val="24"/>
          <w:szCs w:val="24"/>
          <w:shd w:val="clear" w:color="auto" w:fill="FFFFFF"/>
        </w:rPr>
        <w:t>American</w:t>
      </w:r>
      <w:r>
        <w:rPr>
          <w:rFonts w:ascii="Times New Roman" w:hAnsi="Times New Roman"/>
          <w:i/>
          <w:sz w:val="24"/>
          <w:szCs w:val="24"/>
          <w:shd w:val="clear" w:color="auto" w:fill="FFFFFF"/>
        </w:rPr>
        <w:t xml:space="preserve"> </w:t>
      </w:r>
      <w:r w:rsidRPr="002D6814">
        <w:rPr>
          <w:rFonts w:ascii="Times New Roman" w:hAnsi="Times New Roman"/>
          <w:i/>
          <w:sz w:val="24"/>
          <w:szCs w:val="24"/>
          <w:shd w:val="clear" w:color="auto" w:fill="FFFFFF"/>
        </w:rPr>
        <w:t>Anthropologist</w:t>
      </w:r>
      <w:r w:rsidRPr="002D6814">
        <w:rPr>
          <w:rFonts w:ascii="Times New Roman" w:hAnsi="Times New Roman"/>
          <w:sz w:val="24"/>
          <w:szCs w:val="24"/>
          <w:shd w:val="clear" w:color="auto" w:fill="FFFFFF"/>
        </w:rPr>
        <w:t>,</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2D6814">
        <w:rPr>
          <w:rFonts w:ascii="Times New Roman" w:hAnsi="Times New Roman"/>
          <w:sz w:val="24"/>
          <w:szCs w:val="24"/>
          <w:shd w:val="clear" w:color="auto" w:fill="FFFFFF"/>
        </w:rPr>
        <w:t>86(1), 65–79. doi:10.1525/aa.1984.86.1.02a00050</w:t>
      </w:r>
    </w:p>
    <w:p w14:paraId="170B723E" w14:textId="1698ED95" w:rsidR="00E94F3C" w:rsidRPr="00F94C57" w:rsidRDefault="00E94F3C" w:rsidP="00F94C57">
      <w:pPr>
        <w:rPr>
          <w:rFonts w:ascii="Times New Roman" w:hAnsi="Times New Roman"/>
          <w:sz w:val="24"/>
          <w:szCs w:val="24"/>
          <w:shd w:val="clear" w:color="auto" w:fill="FFFFFF"/>
        </w:rPr>
      </w:pPr>
      <w:r w:rsidRPr="00E94F3C">
        <w:rPr>
          <w:rFonts w:ascii="Times New Roman" w:hAnsi="Times New Roman"/>
          <w:sz w:val="24"/>
          <w:szCs w:val="24"/>
        </w:rPr>
        <w:lastRenderedPageBreak/>
        <w:t xml:space="preserve">Kramsch, C. (2010). </w:t>
      </w:r>
      <w:r w:rsidRPr="00E94F3C">
        <w:rPr>
          <w:rFonts w:ascii="Times New Roman" w:hAnsi="Times New Roman"/>
          <w:i/>
          <w:sz w:val="24"/>
          <w:szCs w:val="24"/>
        </w:rPr>
        <w:t>The multilingual subject</w:t>
      </w:r>
      <w:r w:rsidRPr="00E94F3C">
        <w:rPr>
          <w:rFonts w:ascii="Times New Roman" w:hAnsi="Times New Roman"/>
          <w:sz w:val="24"/>
          <w:szCs w:val="24"/>
        </w:rPr>
        <w:t>. Oxford, UK: Oxford University Press</w:t>
      </w:r>
    </w:p>
    <w:p w14:paraId="2D2A8406"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Kroll, J.F and McCain, R. (2013). What bilinguals tell us about culture, cognition, and language.</w:t>
      </w:r>
      <w:r>
        <w:rPr>
          <w:rFonts w:ascii="Times New Roman" w:hAnsi="Times New Roman"/>
          <w:sz w:val="24"/>
          <w:szCs w:val="24"/>
        </w:rPr>
        <w:tab/>
      </w:r>
      <w:r>
        <w:rPr>
          <w:rFonts w:ascii="Times New Roman" w:hAnsi="Times New Roman"/>
          <w:i/>
          <w:sz w:val="24"/>
          <w:szCs w:val="24"/>
        </w:rPr>
        <w:t>Proceedings of the National Academy of Sciences of the United States of America, 110,</w:t>
      </w:r>
      <w:r>
        <w:rPr>
          <w:rFonts w:ascii="Times New Roman" w:hAnsi="Times New Roman"/>
          <w:i/>
          <w:sz w:val="24"/>
          <w:szCs w:val="24"/>
        </w:rPr>
        <w:tab/>
      </w:r>
      <w:r>
        <w:rPr>
          <w:rFonts w:ascii="Times New Roman" w:hAnsi="Times New Roman"/>
          <w:sz w:val="24"/>
          <w:szCs w:val="24"/>
        </w:rPr>
        <w:t>11219-11220.</w:t>
      </w:r>
    </w:p>
    <w:p w14:paraId="5317A94E" w14:textId="77777777" w:rsidR="00D426D1" w:rsidRPr="004F61AC"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Lambert, Wallace E. (1974). Culture and language as factors in learning and education. In </w:t>
      </w:r>
      <w:r>
        <w:rPr>
          <w:rFonts w:ascii="Times New Roman" w:hAnsi="Times New Roman"/>
          <w:sz w:val="24"/>
          <w:szCs w:val="24"/>
        </w:rPr>
        <w:tab/>
        <w:t xml:space="preserve">Frances E. Aboud and Robert D. Meade (Eds.). </w:t>
      </w:r>
      <w:r>
        <w:rPr>
          <w:rFonts w:ascii="Times New Roman" w:hAnsi="Times New Roman"/>
          <w:i/>
          <w:sz w:val="24"/>
          <w:szCs w:val="24"/>
        </w:rPr>
        <w:t xml:space="preserve">Cultural Factors in Learning and </w:t>
      </w:r>
      <w:r>
        <w:rPr>
          <w:rFonts w:ascii="Times New Roman" w:hAnsi="Times New Roman"/>
          <w:i/>
          <w:sz w:val="24"/>
          <w:szCs w:val="24"/>
        </w:rPr>
        <w:tab/>
        <w:t>Education.</w:t>
      </w:r>
      <w:r>
        <w:rPr>
          <w:rFonts w:ascii="Times New Roman" w:hAnsi="Times New Roman"/>
          <w:sz w:val="24"/>
          <w:szCs w:val="24"/>
        </w:rPr>
        <w:t xml:space="preserve"> 91-122. Bellingham, WA: Western Washington State University.</w:t>
      </w:r>
    </w:p>
    <w:p w14:paraId="4DC6E7FB"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Liddicoat, Anthony (1991). Bilingualism: An Introduction. </w:t>
      </w:r>
      <w:r>
        <w:rPr>
          <w:rFonts w:ascii="Times New Roman" w:hAnsi="Times New Roman"/>
          <w:i/>
          <w:sz w:val="24"/>
          <w:szCs w:val="24"/>
        </w:rPr>
        <w:t xml:space="preserve">Bilingualism and Bilingual </w:t>
      </w:r>
      <w:r>
        <w:rPr>
          <w:rFonts w:ascii="Times New Roman" w:hAnsi="Times New Roman"/>
          <w:i/>
          <w:sz w:val="24"/>
          <w:szCs w:val="24"/>
        </w:rPr>
        <w:tab/>
        <w:t xml:space="preserve">Education. </w:t>
      </w:r>
      <w:r w:rsidRPr="004901C7">
        <w:rPr>
          <w:rFonts w:ascii="Times New Roman" w:hAnsi="Times New Roman"/>
          <w:i/>
          <w:sz w:val="24"/>
          <w:szCs w:val="24"/>
        </w:rPr>
        <w:t>NLIA</w:t>
      </w:r>
      <w:r>
        <w:rPr>
          <w:rFonts w:ascii="Times New Roman" w:hAnsi="Times New Roman"/>
          <w:i/>
          <w:sz w:val="24"/>
          <w:szCs w:val="24"/>
        </w:rPr>
        <w:t xml:space="preserve"> </w:t>
      </w:r>
      <w:r>
        <w:rPr>
          <w:rFonts w:ascii="Times New Roman" w:hAnsi="Times New Roman"/>
          <w:sz w:val="24"/>
          <w:szCs w:val="24"/>
        </w:rPr>
        <w:t>Vol 2. Australia.</w:t>
      </w:r>
    </w:p>
    <w:p w14:paraId="62BE6F6F" w14:textId="77777777" w:rsidR="00432FAE" w:rsidRPr="00432FAE" w:rsidRDefault="00432FAE" w:rsidP="0004578D">
      <w:pPr>
        <w:spacing w:beforeLines="50" w:before="120" w:afterLines="50" w:after="120" w:line="240" w:lineRule="auto"/>
        <w:jc w:val="both"/>
        <w:rPr>
          <w:rFonts w:ascii="Times New Roman" w:hAnsi="Times New Roman"/>
          <w:sz w:val="24"/>
          <w:szCs w:val="24"/>
        </w:rPr>
      </w:pPr>
      <w:r w:rsidRPr="00432FAE">
        <w:rPr>
          <w:rFonts w:ascii="Times New Roman" w:hAnsi="Times New Roman"/>
          <w:sz w:val="24"/>
          <w:szCs w:val="24"/>
        </w:rPr>
        <w:t xml:space="preserve">Martin-Jones, M. (2007). Bilingualism, education and the regulation of access to language </w:t>
      </w:r>
      <w:r>
        <w:rPr>
          <w:rFonts w:ascii="Times New Roman" w:hAnsi="Times New Roman"/>
          <w:sz w:val="24"/>
          <w:szCs w:val="24"/>
        </w:rPr>
        <w:tab/>
      </w:r>
      <w:r w:rsidRPr="00432FAE">
        <w:rPr>
          <w:rFonts w:ascii="Times New Roman" w:hAnsi="Times New Roman"/>
          <w:sz w:val="24"/>
          <w:szCs w:val="24"/>
        </w:rPr>
        <w:t>resources. In Heller, M. (Ed.), Bilingualism: A social approach (pp. 161-182). New York:</w:t>
      </w:r>
      <w:r>
        <w:rPr>
          <w:rFonts w:ascii="Times New Roman" w:hAnsi="Times New Roman"/>
          <w:sz w:val="24"/>
          <w:szCs w:val="24"/>
        </w:rPr>
        <w:tab/>
      </w:r>
      <w:r>
        <w:rPr>
          <w:rFonts w:ascii="Times New Roman" w:hAnsi="Times New Roman"/>
          <w:sz w:val="24"/>
          <w:szCs w:val="24"/>
        </w:rPr>
        <w:tab/>
      </w:r>
      <w:r w:rsidRPr="00432FAE">
        <w:rPr>
          <w:rFonts w:ascii="Times New Roman" w:hAnsi="Times New Roman"/>
          <w:sz w:val="24"/>
          <w:szCs w:val="24"/>
        </w:rPr>
        <w:t xml:space="preserve"> Palgrave Macmillan</w:t>
      </w:r>
    </w:p>
    <w:p w14:paraId="3EC5DAB4" w14:textId="77777777" w:rsidR="00D426D1" w:rsidRDefault="00D426D1" w:rsidP="0004578D">
      <w:pPr>
        <w:spacing w:beforeLines="50" w:before="120" w:afterLines="50" w:after="120" w:line="240" w:lineRule="auto"/>
        <w:jc w:val="both"/>
        <w:rPr>
          <w:rFonts w:ascii="Times New Roman" w:hAnsi="Times New Roman"/>
          <w:sz w:val="24"/>
          <w:szCs w:val="24"/>
        </w:rPr>
      </w:pPr>
      <w:r w:rsidRPr="00D75B8F">
        <w:rPr>
          <w:rFonts w:ascii="Times New Roman" w:hAnsi="Times New Roman"/>
          <w:sz w:val="24"/>
          <w:szCs w:val="24"/>
        </w:rPr>
        <w:t>McLaughlin, M. L. (1984). Conversation. Beverly Hills: Sage.</w:t>
      </w:r>
    </w:p>
    <w:p w14:paraId="4763FC03" w14:textId="77777777" w:rsidR="006B7347" w:rsidRPr="006B7347" w:rsidRDefault="006B7347" w:rsidP="0004578D">
      <w:pPr>
        <w:spacing w:beforeLines="50" w:before="120" w:afterLines="50" w:after="120" w:line="240" w:lineRule="auto"/>
        <w:jc w:val="both"/>
        <w:rPr>
          <w:rFonts w:ascii="Times New Roman" w:hAnsi="Times New Roman"/>
          <w:sz w:val="24"/>
          <w:szCs w:val="24"/>
        </w:rPr>
      </w:pPr>
      <w:r w:rsidRPr="006B7347">
        <w:rPr>
          <w:rFonts w:ascii="Times New Roman" w:hAnsi="Times New Roman"/>
          <w:sz w:val="24"/>
          <w:szCs w:val="24"/>
        </w:rPr>
        <w:t xml:space="preserve">Moradi, H. (2014). An investigation through different types of bilinguals and bilingualism. </w:t>
      </w:r>
      <w:r>
        <w:rPr>
          <w:rFonts w:ascii="Times New Roman" w:hAnsi="Times New Roman"/>
          <w:sz w:val="24"/>
          <w:szCs w:val="24"/>
        </w:rPr>
        <w:tab/>
      </w:r>
      <w:r w:rsidRPr="006B7347">
        <w:rPr>
          <w:rFonts w:ascii="Times New Roman" w:hAnsi="Times New Roman"/>
          <w:sz w:val="24"/>
          <w:szCs w:val="24"/>
        </w:rPr>
        <w:t xml:space="preserve">Retrieved from </w:t>
      </w:r>
      <w:hyperlink r:id="rId7" w:history="1">
        <w:r w:rsidR="00B94977" w:rsidRPr="000829CD">
          <w:rPr>
            <w:rStyle w:val="Hyperlink"/>
            <w:rFonts w:ascii="Times New Roman" w:hAnsi="Times New Roman"/>
            <w:sz w:val="24"/>
            <w:szCs w:val="24"/>
          </w:rPr>
          <w:t>https://www.ijhsss.com/files/Hamzeh-Moradi_6813z4a4.pdf</w:t>
        </w:r>
      </w:hyperlink>
      <w:r w:rsidR="00B94977">
        <w:rPr>
          <w:rFonts w:ascii="Times New Roman" w:hAnsi="Times New Roman"/>
          <w:sz w:val="24"/>
          <w:szCs w:val="24"/>
        </w:rPr>
        <w:t xml:space="preserve"> </w:t>
      </w:r>
    </w:p>
    <w:p w14:paraId="61C7EA03" w14:textId="77777777" w:rsidR="002C5B9E" w:rsidRDefault="002C5B9E" w:rsidP="0004578D">
      <w:pPr>
        <w:spacing w:beforeLines="50" w:before="120" w:afterLines="50" w:after="120" w:line="240" w:lineRule="auto"/>
        <w:jc w:val="both"/>
        <w:rPr>
          <w:rFonts w:ascii="Times New Roman" w:hAnsi="Times New Roman"/>
          <w:sz w:val="24"/>
          <w:szCs w:val="24"/>
        </w:rPr>
      </w:pPr>
      <w:r w:rsidRPr="002C5B9E">
        <w:rPr>
          <w:rFonts w:ascii="Times New Roman" w:hAnsi="Times New Roman"/>
          <w:sz w:val="24"/>
          <w:szCs w:val="24"/>
        </w:rPr>
        <w:t xml:space="preserve">Myers-Scotton, C. (2005). </w:t>
      </w:r>
      <w:r w:rsidRPr="002C5B9E">
        <w:rPr>
          <w:rFonts w:ascii="Times New Roman" w:hAnsi="Times New Roman"/>
          <w:i/>
          <w:iCs/>
          <w:sz w:val="24"/>
          <w:szCs w:val="24"/>
        </w:rPr>
        <w:t>Multiple voices: An introduction to bilingualism</w:t>
      </w:r>
      <w:r w:rsidRPr="002C5B9E">
        <w:rPr>
          <w:rFonts w:ascii="Times New Roman" w:hAnsi="Times New Roman"/>
          <w:sz w:val="24"/>
          <w:szCs w:val="24"/>
        </w:rPr>
        <w:t>. Wiley-Blackwell.</w:t>
      </w:r>
    </w:p>
    <w:p w14:paraId="4D6956A5" w14:textId="77777777" w:rsidR="009C1099" w:rsidRPr="009C1099" w:rsidRDefault="009C1099" w:rsidP="0004578D">
      <w:pPr>
        <w:spacing w:beforeLines="50" w:before="120" w:afterLines="50" w:after="120" w:line="240" w:lineRule="auto"/>
        <w:jc w:val="both"/>
        <w:rPr>
          <w:rFonts w:ascii="Times New Roman" w:hAnsi="Times New Roman"/>
          <w:sz w:val="24"/>
          <w:szCs w:val="24"/>
        </w:rPr>
      </w:pPr>
      <w:r w:rsidRPr="009C1099">
        <w:rPr>
          <w:rFonts w:ascii="Times New Roman" w:hAnsi="Times New Roman"/>
          <w:sz w:val="24"/>
          <w:szCs w:val="24"/>
          <w:shd w:val="clear" w:color="auto" w:fill="FFFFFF"/>
        </w:rPr>
        <w:t>Peal, E., &amp; Lambert, W. E. (1962). The relation of bilingualism to intelligence. </w:t>
      </w:r>
      <w:r w:rsidRPr="009C1099">
        <w:rPr>
          <w:rStyle w:val="Emphasis"/>
          <w:rFonts w:ascii="Times New Roman" w:hAnsi="Times New Roman"/>
          <w:sz w:val="24"/>
          <w:szCs w:val="24"/>
          <w:shd w:val="clear" w:color="auto" w:fill="FFFFFF"/>
        </w:rPr>
        <w:t xml:space="preserve">Psychological </w:t>
      </w:r>
      <w:r w:rsidR="00B66080">
        <w:rPr>
          <w:rStyle w:val="Emphasis"/>
          <w:rFonts w:ascii="Times New Roman" w:hAnsi="Times New Roman"/>
          <w:sz w:val="24"/>
          <w:szCs w:val="24"/>
          <w:shd w:val="clear" w:color="auto" w:fill="FFFFFF"/>
        </w:rPr>
        <w:tab/>
      </w:r>
      <w:r w:rsidRPr="009C1099">
        <w:rPr>
          <w:rStyle w:val="Emphasis"/>
          <w:rFonts w:ascii="Times New Roman" w:hAnsi="Times New Roman"/>
          <w:sz w:val="24"/>
          <w:szCs w:val="24"/>
          <w:shd w:val="clear" w:color="auto" w:fill="FFFFFF"/>
        </w:rPr>
        <w:t>Monographs: General and Applied, 76</w:t>
      </w:r>
      <w:r w:rsidRPr="009C1099">
        <w:rPr>
          <w:rFonts w:ascii="Times New Roman" w:hAnsi="Times New Roman"/>
          <w:sz w:val="24"/>
          <w:szCs w:val="24"/>
          <w:shd w:val="clear" w:color="auto" w:fill="FFFFFF"/>
        </w:rPr>
        <w:t>(27, Whole No. 546), 23.</w:t>
      </w:r>
    </w:p>
    <w:p w14:paraId="5D2DE4D0" w14:textId="77777777" w:rsidR="001D308D" w:rsidRPr="002C5B9E" w:rsidRDefault="001D308D"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Phinney, J. (2003) Ethnic Identity and Acculturation. In K. Chum, P.B. Organists and G. Marin</w:t>
      </w:r>
      <w:r>
        <w:rPr>
          <w:rFonts w:ascii="Times New Roman" w:hAnsi="Times New Roman"/>
          <w:sz w:val="24"/>
          <w:szCs w:val="24"/>
        </w:rPr>
        <w:tab/>
      </w:r>
      <w:r>
        <w:rPr>
          <w:rFonts w:ascii="Times New Roman" w:hAnsi="Times New Roman"/>
          <w:sz w:val="24"/>
          <w:szCs w:val="24"/>
        </w:rPr>
        <w:tab/>
        <w:t xml:space="preserve">(eds) </w:t>
      </w:r>
      <w:r>
        <w:rPr>
          <w:rFonts w:ascii="Times New Roman" w:hAnsi="Times New Roman"/>
          <w:i/>
          <w:sz w:val="24"/>
          <w:szCs w:val="24"/>
        </w:rPr>
        <w:t>Acculturation Advances in Theory, Measurement and Applied Research</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Washington DC: American Psychological Association, pp. 63-81.   </w:t>
      </w:r>
      <w:r>
        <w:rPr>
          <w:rFonts w:ascii="Times New Roman" w:hAnsi="Times New Roman"/>
          <w:sz w:val="24"/>
          <w:szCs w:val="24"/>
        </w:rPr>
        <w:tab/>
      </w:r>
    </w:p>
    <w:p w14:paraId="44AFD67B" w14:textId="6A15DD8F"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Ramos Garcia, Ana Maria (2011). The Cultural Knowledge of Monolingual and Bilingual</w:t>
      </w:r>
      <w:r>
        <w:rPr>
          <w:rFonts w:ascii="Times New Roman" w:hAnsi="Times New Roman"/>
          <w:sz w:val="24"/>
          <w:szCs w:val="24"/>
        </w:rPr>
        <w:tab/>
      </w:r>
      <w:r>
        <w:rPr>
          <w:rFonts w:ascii="Times New Roman" w:hAnsi="Times New Roman"/>
          <w:sz w:val="24"/>
          <w:szCs w:val="24"/>
        </w:rPr>
        <w:tab/>
        <w:t xml:space="preserve"> Students. In Daniel Madrid and Stephen Hughes (Eds), </w:t>
      </w:r>
      <w:r>
        <w:rPr>
          <w:rFonts w:ascii="Times New Roman" w:hAnsi="Times New Roman"/>
          <w:i/>
          <w:sz w:val="24"/>
          <w:szCs w:val="24"/>
        </w:rPr>
        <w:t>Studies in Bilingual Education.</w:t>
      </w:r>
      <w:r>
        <w:rPr>
          <w:rFonts w:ascii="Times New Roman" w:hAnsi="Times New Roman"/>
          <w:sz w:val="24"/>
          <w:szCs w:val="24"/>
        </w:rPr>
        <w:tab/>
        <w:t>8: 223-235. Bern/New York: Peter Lang.</w:t>
      </w:r>
    </w:p>
    <w:p w14:paraId="64FCE7AF" w14:textId="1220604D" w:rsidR="003A5E75" w:rsidRPr="002D6814" w:rsidRDefault="003A5E75" w:rsidP="003A5E75">
      <w:pPr>
        <w:rPr>
          <w:rFonts w:ascii="Times New Roman" w:hAnsi="Times New Roman"/>
          <w:sz w:val="24"/>
          <w:szCs w:val="24"/>
        </w:rPr>
      </w:pPr>
      <w:r w:rsidRPr="002D6814">
        <w:rPr>
          <w:rFonts w:ascii="Times New Roman" w:hAnsi="Times New Roman"/>
          <w:sz w:val="24"/>
          <w:szCs w:val="24"/>
        </w:rPr>
        <w:t>Roberson, D., Davidoff, J., Davies, I. R., &amp; Shapiro, L. R. (2005). Color categories: Evidence for</w:t>
      </w:r>
      <w:r>
        <w:rPr>
          <w:rFonts w:ascii="Times New Roman" w:hAnsi="Times New Roman"/>
          <w:sz w:val="24"/>
          <w:szCs w:val="24"/>
        </w:rPr>
        <w:tab/>
      </w:r>
      <w:r>
        <w:rPr>
          <w:rFonts w:ascii="Times New Roman" w:hAnsi="Times New Roman"/>
          <w:sz w:val="24"/>
          <w:szCs w:val="24"/>
        </w:rPr>
        <w:tab/>
      </w:r>
      <w:r w:rsidRPr="002D6814">
        <w:rPr>
          <w:rFonts w:ascii="Times New Roman" w:hAnsi="Times New Roman"/>
          <w:sz w:val="24"/>
          <w:szCs w:val="24"/>
        </w:rPr>
        <w:t>the cultural</w:t>
      </w:r>
      <w:r>
        <w:rPr>
          <w:rFonts w:ascii="Times New Roman" w:hAnsi="Times New Roman"/>
          <w:sz w:val="24"/>
          <w:szCs w:val="24"/>
        </w:rPr>
        <w:t xml:space="preserve"> </w:t>
      </w:r>
      <w:r w:rsidRPr="002D6814">
        <w:rPr>
          <w:rFonts w:ascii="Times New Roman" w:hAnsi="Times New Roman"/>
          <w:sz w:val="24"/>
          <w:szCs w:val="24"/>
        </w:rPr>
        <w:t>relativity hypothesis.</w:t>
      </w:r>
      <w:r>
        <w:rPr>
          <w:rFonts w:ascii="Times New Roman" w:hAnsi="Times New Roman"/>
          <w:sz w:val="24"/>
          <w:szCs w:val="24"/>
        </w:rPr>
        <w:t xml:space="preserve"> </w:t>
      </w:r>
      <w:r w:rsidRPr="002D6814">
        <w:rPr>
          <w:rFonts w:ascii="Times New Roman" w:hAnsi="Times New Roman"/>
          <w:i/>
          <w:sz w:val="24"/>
          <w:szCs w:val="24"/>
        </w:rPr>
        <w:t>Cognitive Psychology</w:t>
      </w:r>
      <w:r w:rsidRPr="002D6814">
        <w:rPr>
          <w:rFonts w:ascii="Times New Roman" w:hAnsi="Times New Roman"/>
          <w:sz w:val="24"/>
          <w:szCs w:val="24"/>
        </w:rPr>
        <w:t xml:space="preserve">,50(4), 378–411. </w:t>
      </w:r>
      <w:r>
        <w:rPr>
          <w:rFonts w:ascii="Times New Roman" w:hAnsi="Times New Roman"/>
          <w:sz w:val="24"/>
          <w:szCs w:val="24"/>
        </w:rPr>
        <w:tab/>
      </w:r>
      <w:r w:rsidRPr="002D6814">
        <w:rPr>
          <w:rFonts w:ascii="Times New Roman" w:hAnsi="Times New Roman"/>
          <w:sz w:val="24"/>
          <w:szCs w:val="24"/>
        </w:rPr>
        <w:t>doi:10.1016/j.cogpsych.2004.10.</w:t>
      </w:r>
    </w:p>
    <w:p w14:paraId="28C3FB23"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Sapir, E. (1929). </w:t>
      </w:r>
      <w:r>
        <w:rPr>
          <w:rFonts w:ascii="Times New Roman" w:hAnsi="Times New Roman"/>
          <w:i/>
          <w:sz w:val="24"/>
          <w:szCs w:val="24"/>
        </w:rPr>
        <w:t xml:space="preserve">Language. </w:t>
      </w:r>
      <w:r>
        <w:rPr>
          <w:rFonts w:ascii="Times New Roman" w:hAnsi="Times New Roman"/>
          <w:sz w:val="24"/>
          <w:szCs w:val="24"/>
        </w:rPr>
        <w:t>New York: Harcourt Brace.</w:t>
      </w:r>
    </w:p>
    <w:p w14:paraId="01862803" w14:textId="77777777" w:rsidR="00D426D1" w:rsidRPr="00450154" w:rsidRDefault="00D426D1" w:rsidP="0004578D">
      <w:pPr>
        <w:spacing w:beforeLines="50" w:before="120" w:afterLines="50" w:after="120" w:line="240" w:lineRule="auto"/>
        <w:jc w:val="both"/>
        <w:rPr>
          <w:rFonts w:ascii="Times New Roman" w:hAnsi="Times New Roman"/>
          <w:sz w:val="24"/>
          <w:szCs w:val="24"/>
        </w:rPr>
      </w:pPr>
      <w:r w:rsidRPr="00450154">
        <w:rPr>
          <w:rStyle w:val="hlfld-contribauthor"/>
          <w:rFonts w:ascii="Times New Roman" w:hAnsi="Times New Roman"/>
          <w:color w:val="333333"/>
          <w:sz w:val="24"/>
          <w:szCs w:val="24"/>
        </w:rPr>
        <w:t>Saussure, </w:t>
      </w:r>
      <w:r w:rsidRPr="00450154">
        <w:rPr>
          <w:rStyle w:val="nlmgiven-names"/>
          <w:rFonts w:ascii="Times New Roman" w:hAnsi="Times New Roman"/>
          <w:color w:val="333333"/>
          <w:sz w:val="24"/>
          <w:szCs w:val="24"/>
        </w:rPr>
        <w:t>F. de.</w:t>
      </w:r>
      <w:r w:rsidRPr="00450154">
        <w:rPr>
          <w:rFonts w:ascii="Times New Roman" w:hAnsi="Times New Roman"/>
          <w:color w:val="333333"/>
          <w:sz w:val="24"/>
          <w:szCs w:val="24"/>
        </w:rPr>
        <w:t> </w:t>
      </w:r>
      <w:r>
        <w:rPr>
          <w:rFonts w:ascii="Times New Roman" w:hAnsi="Times New Roman"/>
          <w:color w:val="333333"/>
          <w:sz w:val="24"/>
          <w:szCs w:val="24"/>
        </w:rPr>
        <w:t>(</w:t>
      </w:r>
      <w:r w:rsidRPr="00450154">
        <w:rPr>
          <w:rStyle w:val="nlmyear"/>
          <w:rFonts w:ascii="Times New Roman" w:hAnsi="Times New Roman"/>
          <w:color w:val="333333"/>
          <w:sz w:val="24"/>
          <w:szCs w:val="24"/>
        </w:rPr>
        <w:t>1916</w:t>
      </w:r>
      <w:r>
        <w:rPr>
          <w:rStyle w:val="nlmyear"/>
          <w:rFonts w:ascii="Times New Roman" w:hAnsi="Times New Roman"/>
          <w:color w:val="333333"/>
          <w:sz w:val="24"/>
          <w:szCs w:val="24"/>
        </w:rPr>
        <w:t>)</w:t>
      </w:r>
      <w:r w:rsidRPr="00450154">
        <w:rPr>
          <w:rFonts w:ascii="Times New Roman" w:hAnsi="Times New Roman"/>
          <w:color w:val="333333"/>
          <w:sz w:val="24"/>
          <w:szCs w:val="24"/>
        </w:rPr>
        <w:t>. </w:t>
      </w:r>
      <w:r w:rsidRPr="00450154">
        <w:rPr>
          <w:rFonts w:ascii="Times New Roman" w:hAnsi="Times New Roman"/>
          <w:i/>
          <w:iCs/>
          <w:color w:val="333333"/>
          <w:sz w:val="24"/>
          <w:szCs w:val="24"/>
        </w:rPr>
        <w:t>Course in general linguistics (C. Bally &amp; A. Sechehaye, Eds; R. Harris,</w:t>
      </w:r>
      <w:r>
        <w:rPr>
          <w:rFonts w:ascii="Times New Roman" w:hAnsi="Times New Roman"/>
          <w:i/>
          <w:iCs/>
          <w:color w:val="333333"/>
          <w:sz w:val="24"/>
          <w:szCs w:val="24"/>
        </w:rPr>
        <w:tab/>
      </w:r>
      <w:r w:rsidRPr="00450154">
        <w:rPr>
          <w:rFonts w:ascii="Times New Roman" w:hAnsi="Times New Roman"/>
          <w:i/>
          <w:iCs/>
          <w:color w:val="333333"/>
          <w:sz w:val="24"/>
          <w:szCs w:val="24"/>
        </w:rPr>
        <w:t>Trans)</w:t>
      </w:r>
      <w:r w:rsidRPr="00450154">
        <w:rPr>
          <w:rFonts w:ascii="Times New Roman" w:hAnsi="Times New Roman"/>
          <w:color w:val="333333"/>
          <w:sz w:val="24"/>
          <w:szCs w:val="24"/>
        </w:rPr>
        <w:t> </w:t>
      </w:r>
    </w:p>
    <w:p w14:paraId="12B9BAB5" w14:textId="77777777" w:rsidR="00D426D1" w:rsidRDefault="00D426D1" w:rsidP="0004578D">
      <w:pPr>
        <w:spacing w:beforeLines="50" w:before="120" w:afterLines="50" w:after="120" w:line="240" w:lineRule="auto"/>
        <w:jc w:val="both"/>
        <w:rPr>
          <w:rFonts w:ascii="Times New Roman" w:hAnsi="Times New Roman"/>
          <w:sz w:val="24"/>
          <w:szCs w:val="24"/>
        </w:rPr>
      </w:pPr>
      <w:r w:rsidRPr="0037076E">
        <w:rPr>
          <w:rFonts w:ascii="Times New Roman" w:hAnsi="Times New Roman"/>
          <w:sz w:val="24"/>
          <w:szCs w:val="24"/>
        </w:rPr>
        <w:t xml:space="preserve">Saville-Troike. (2003), </w:t>
      </w:r>
      <w:r w:rsidRPr="0037076E">
        <w:rPr>
          <w:rFonts w:ascii="Times New Roman" w:hAnsi="Times New Roman"/>
          <w:i/>
          <w:sz w:val="24"/>
          <w:szCs w:val="24"/>
        </w:rPr>
        <w:t>The Ethnography of Communication</w:t>
      </w:r>
      <w:r w:rsidRPr="0037076E">
        <w:rPr>
          <w:rFonts w:ascii="Times New Roman" w:hAnsi="Times New Roman"/>
          <w:sz w:val="24"/>
          <w:szCs w:val="24"/>
        </w:rPr>
        <w:t>. Oxford: Blackwell.</w:t>
      </w:r>
      <w:r>
        <w:rPr>
          <w:rFonts w:ascii="Times New Roman" w:hAnsi="Times New Roman"/>
          <w:sz w:val="24"/>
          <w:szCs w:val="24"/>
        </w:rPr>
        <w:t xml:space="preserve"> </w:t>
      </w:r>
    </w:p>
    <w:p w14:paraId="7A3C6D65" w14:textId="77777777" w:rsidR="00432FAE" w:rsidRPr="00432FAE" w:rsidRDefault="00432FAE"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Serpa, Livia Amdrea (2014). </w:t>
      </w:r>
      <w:r>
        <w:rPr>
          <w:rFonts w:ascii="Times New Roman" w:hAnsi="Times New Roman"/>
          <w:i/>
          <w:sz w:val="24"/>
          <w:szCs w:val="24"/>
        </w:rPr>
        <w:t xml:space="preserve">Children Language Acquisition Focusing on Bilingualism. </w:t>
      </w:r>
      <w:r>
        <w:rPr>
          <w:rFonts w:ascii="Times New Roman" w:hAnsi="Times New Roman"/>
          <w:sz w:val="24"/>
          <w:szCs w:val="24"/>
        </w:rPr>
        <w:t>A</w:t>
      </w:r>
      <w:r>
        <w:rPr>
          <w:rFonts w:ascii="Times New Roman" w:hAnsi="Times New Roman"/>
          <w:sz w:val="24"/>
          <w:szCs w:val="24"/>
        </w:rPr>
        <w:tab/>
      </w:r>
      <w:r>
        <w:rPr>
          <w:rFonts w:ascii="Times New Roman" w:hAnsi="Times New Roman"/>
          <w:sz w:val="24"/>
          <w:szCs w:val="24"/>
        </w:rPr>
        <w:tab/>
        <w:t xml:space="preserve"> Master’s thesis submitted to the faculty of Educational Sciences, University of Oslo, </w:t>
      </w:r>
      <w:r>
        <w:rPr>
          <w:rFonts w:ascii="Times New Roman" w:hAnsi="Times New Roman"/>
          <w:sz w:val="24"/>
          <w:szCs w:val="24"/>
        </w:rPr>
        <w:tab/>
        <w:t>Norway.</w:t>
      </w:r>
    </w:p>
    <w:p w14:paraId="7B3DB782"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Simons, Gary F. and Charles D. Fennig (Eds). 2017. </w:t>
      </w:r>
      <w:r>
        <w:rPr>
          <w:rFonts w:ascii="Times New Roman" w:hAnsi="Times New Roman"/>
          <w:i/>
          <w:sz w:val="24"/>
          <w:szCs w:val="24"/>
        </w:rPr>
        <w:t>Ethnologue: Languages of the World</w:t>
      </w:r>
      <w:r>
        <w:rPr>
          <w:rFonts w:ascii="Times New Roman" w:hAnsi="Times New Roman"/>
          <w:i/>
          <w:sz w:val="24"/>
          <w:szCs w:val="24"/>
        </w:rPr>
        <w:tab/>
      </w:r>
      <w:r w:rsidRPr="00815346">
        <w:rPr>
          <w:rFonts w:ascii="Times New Roman" w:hAnsi="Times New Roman"/>
          <w:sz w:val="24"/>
          <w:szCs w:val="24"/>
        </w:rPr>
        <w:t>(Twentieth edition).</w:t>
      </w:r>
      <w:r>
        <w:rPr>
          <w:rFonts w:ascii="Times New Roman" w:hAnsi="Times New Roman"/>
          <w:sz w:val="24"/>
          <w:szCs w:val="24"/>
        </w:rPr>
        <w:t xml:space="preserve"> Dallas: SIL International. </w:t>
      </w:r>
      <w:hyperlink r:id="rId8" w:history="1">
        <w:r w:rsidRPr="00E179A9">
          <w:rPr>
            <w:rStyle w:val="Hyperlink"/>
            <w:rFonts w:ascii="Times New Roman" w:hAnsi="Times New Roman"/>
            <w:sz w:val="24"/>
            <w:szCs w:val="24"/>
          </w:rPr>
          <w:t>http://www.ethnologue.com</w:t>
        </w:r>
      </w:hyperlink>
      <w:r>
        <w:rPr>
          <w:rFonts w:ascii="Times New Roman" w:hAnsi="Times New Roman"/>
          <w:sz w:val="24"/>
          <w:szCs w:val="24"/>
        </w:rPr>
        <w:t>.</w:t>
      </w:r>
    </w:p>
    <w:p w14:paraId="09B5E98B" w14:textId="77777777" w:rsidR="00D426D1" w:rsidRDefault="00D426D1" w:rsidP="0004578D">
      <w:pPr>
        <w:spacing w:beforeLines="50" w:before="120" w:afterLines="50" w:after="120" w:line="240" w:lineRule="auto"/>
        <w:jc w:val="both"/>
        <w:rPr>
          <w:rFonts w:ascii="Times New Roman" w:hAnsi="Times New Roman"/>
          <w:color w:val="000000"/>
          <w:sz w:val="24"/>
          <w:szCs w:val="24"/>
          <w:shd w:val="clear" w:color="auto" w:fill="FFFFFF"/>
        </w:rPr>
      </w:pPr>
      <w:r w:rsidRPr="0037076E">
        <w:rPr>
          <w:rFonts w:ascii="Times New Roman" w:hAnsi="Times New Roman"/>
          <w:color w:val="000000"/>
          <w:sz w:val="24"/>
          <w:szCs w:val="24"/>
          <w:shd w:val="clear" w:color="auto" w:fill="FFFFFF"/>
        </w:rPr>
        <w:lastRenderedPageBreak/>
        <w:t>Spolsky, B. (2010). Ferguson and Fishman: Sociolinguistics and the sociology of language. In</w:t>
      </w:r>
      <w:r>
        <w:rPr>
          <w:rFonts w:ascii="Times New Roman" w:hAnsi="Times New Roman"/>
          <w:color w:val="000000"/>
          <w:sz w:val="24"/>
          <w:szCs w:val="24"/>
          <w:shd w:val="clear" w:color="auto" w:fill="FFFFFF"/>
        </w:rPr>
        <w:tab/>
      </w:r>
      <w:r>
        <w:rPr>
          <w:rFonts w:ascii="Times New Roman" w:hAnsi="Times New Roman"/>
          <w:color w:val="000000"/>
          <w:sz w:val="24"/>
          <w:szCs w:val="24"/>
          <w:shd w:val="clear" w:color="auto" w:fill="FFFFFF"/>
        </w:rPr>
        <w:tab/>
        <w:t xml:space="preserve"> </w:t>
      </w:r>
      <w:r w:rsidRPr="0037076E">
        <w:rPr>
          <w:rFonts w:ascii="Times New Roman" w:hAnsi="Times New Roman"/>
          <w:color w:val="000000"/>
          <w:sz w:val="24"/>
          <w:szCs w:val="24"/>
          <w:shd w:val="clear" w:color="auto" w:fill="FFFFFF"/>
        </w:rPr>
        <w:t>R.</w:t>
      </w:r>
      <w:r>
        <w:rPr>
          <w:rFonts w:ascii="Times New Roman" w:hAnsi="Times New Roman"/>
          <w:color w:val="000000"/>
          <w:sz w:val="24"/>
          <w:szCs w:val="24"/>
          <w:shd w:val="clear" w:color="auto" w:fill="FFFFFF"/>
        </w:rPr>
        <w:t xml:space="preserve"> </w:t>
      </w:r>
      <w:r w:rsidRPr="0037076E">
        <w:rPr>
          <w:rFonts w:ascii="Times New Roman" w:hAnsi="Times New Roman"/>
          <w:color w:val="000000"/>
          <w:sz w:val="24"/>
          <w:szCs w:val="24"/>
          <w:shd w:val="clear" w:color="auto" w:fill="FFFFFF"/>
        </w:rPr>
        <w:t>Wodak, B. Johnstone, &amp; P. Kerswill (Eds.), </w:t>
      </w:r>
      <w:r w:rsidRPr="0037076E">
        <w:rPr>
          <w:rFonts w:ascii="Times New Roman" w:hAnsi="Times New Roman"/>
          <w:i/>
          <w:iCs/>
          <w:color w:val="000000"/>
          <w:sz w:val="24"/>
          <w:szCs w:val="24"/>
          <w:shd w:val="clear" w:color="auto" w:fill="FFFFFF"/>
        </w:rPr>
        <w:t>The Sage handbook of</w:t>
      </w:r>
      <w:r>
        <w:rPr>
          <w:rFonts w:ascii="Times New Roman" w:hAnsi="Times New Roman"/>
          <w:i/>
          <w:iCs/>
          <w:color w:val="000000"/>
          <w:sz w:val="24"/>
          <w:szCs w:val="24"/>
          <w:shd w:val="clear" w:color="auto" w:fill="FFFFFF"/>
        </w:rPr>
        <w:t xml:space="preserve"> </w:t>
      </w:r>
      <w:r>
        <w:rPr>
          <w:rFonts w:ascii="Times New Roman" w:hAnsi="Times New Roman"/>
          <w:i/>
          <w:iCs/>
          <w:color w:val="000000"/>
          <w:sz w:val="24"/>
          <w:szCs w:val="24"/>
          <w:shd w:val="clear" w:color="auto" w:fill="FFFFFF"/>
        </w:rPr>
        <w:tab/>
      </w:r>
      <w:r w:rsidRPr="0037076E">
        <w:rPr>
          <w:rFonts w:ascii="Times New Roman" w:hAnsi="Times New Roman"/>
          <w:i/>
          <w:iCs/>
          <w:color w:val="000000"/>
          <w:sz w:val="24"/>
          <w:szCs w:val="24"/>
          <w:shd w:val="clear" w:color="auto" w:fill="FFFFFF"/>
        </w:rPr>
        <w:t>sociolinguistics</w:t>
      </w:r>
      <w:r w:rsidRPr="0037076E">
        <w:rPr>
          <w:rFonts w:ascii="Times New Roman" w:hAnsi="Times New Roman"/>
          <w:color w:val="000000"/>
          <w:sz w:val="24"/>
          <w:szCs w:val="24"/>
          <w:shd w:val="clear" w:color="auto" w:fill="FFFFFF"/>
        </w:rPr>
        <w:t> (pp. 11–23). Los Angeles: SAGE.</w:t>
      </w:r>
    </w:p>
    <w:p w14:paraId="22CD41F4" w14:textId="77777777" w:rsidR="00D426D1" w:rsidRDefault="00D426D1" w:rsidP="0004578D">
      <w:pPr>
        <w:spacing w:beforeLines="50" w:before="120" w:afterLines="50" w:after="12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Suntharesan, V.(2016). Color</w:t>
      </w:r>
      <w:r w:rsidRPr="008B3A2C">
        <w:rPr>
          <w:rFonts w:ascii="Times New Roman" w:hAnsi="Times New Roman"/>
          <w:color w:val="000000"/>
          <w:sz w:val="24"/>
          <w:szCs w:val="24"/>
          <w:shd w:val="clear" w:color="auto" w:fill="FFFFFF"/>
        </w:rPr>
        <w:t xml:space="preserve"> Terms in Languages. </w:t>
      </w:r>
      <w:r>
        <w:rPr>
          <w:rFonts w:ascii="Times New Roman" w:hAnsi="Times New Roman"/>
          <w:i/>
          <w:color w:val="000000"/>
          <w:sz w:val="24"/>
          <w:szCs w:val="24"/>
          <w:shd w:val="clear" w:color="auto" w:fill="FFFFFF"/>
        </w:rPr>
        <w:t xml:space="preserve">Language in India. </w:t>
      </w:r>
      <w:r>
        <w:rPr>
          <w:rFonts w:ascii="Times New Roman" w:hAnsi="Times New Roman"/>
          <w:color w:val="000000"/>
          <w:sz w:val="24"/>
          <w:szCs w:val="24"/>
          <w:shd w:val="clear" w:color="auto" w:fill="FFFFFF"/>
        </w:rPr>
        <w:t xml:space="preserve">Vol. 16 (2). ISSN: </w:t>
      </w:r>
      <w:r>
        <w:rPr>
          <w:rFonts w:ascii="Times New Roman" w:hAnsi="Times New Roman"/>
          <w:color w:val="000000"/>
          <w:sz w:val="24"/>
          <w:szCs w:val="24"/>
          <w:shd w:val="clear" w:color="auto" w:fill="FFFFFF"/>
        </w:rPr>
        <w:tab/>
        <w:t>1930-2940.</w:t>
      </w:r>
    </w:p>
    <w:p w14:paraId="3767F9EB" w14:textId="77777777" w:rsidR="00D16118" w:rsidRPr="00817940" w:rsidRDefault="00D16118" w:rsidP="0004578D">
      <w:pPr>
        <w:spacing w:beforeLines="50" w:before="120" w:afterLines="50" w:after="120" w:line="240" w:lineRule="auto"/>
        <w:jc w:val="both"/>
        <w:rPr>
          <w:rFonts w:ascii="Times New Roman" w:hAnsi="Times New Roman"/>
          <w:color w:val="000000"/>
          <w:sz w:val="24"/>
          <w:szCs w:val="24"/>
          <w:shd w:val="clear" w:color="auto" w:fill="FFFFFF"/>
        </w:rPr>
      </w:pPr>
      <w:r w:rsidRPr="00817940">
        <w:rPr>
          <w:rFonts w:ascii="Times New Roman" w:hAnsi="Times New Roman"/>
          <w:sz w:val="24"/>
          <w:szCs w:val="24"/>
        </w:rPr>
        <w:t xml:space="preserve">Tajfel, H. E. (1978). </w:t>
      </w:r>
      <w:r w:rsidRPr="00817940">
        <w:rPr>
          <w:rFonts w:ascii="Times New Roman" w:hAnsi="Times New Roman"/>
          <w:i/>
          <w:iCs/>
          <w:sz w:val="24"/>
          <w:szCs w:val="24"/>
        </w:rPr>
        <w:t>Differentiation between social groups: Studies in the social psychology of</w:t>
      </w:r>
      <w:r w:rsidR="00817940">
        <w:rPr>
          <w:rFonts w:ascii="Times New Roman" w:hAnsi="Times New Roman"/>
          <w:i/>
          <w:iCs/>
          <w:sz w:val="24"/>
          <w:szCs w:val="24"/>
        </w:rPr>
        <w:tab/>
      </w:r>
      <w:r w:rsidR="00817940">
        <w:rPr>
          <w:rFonts w:ascii="Times New Roman" w:hAnsi="Times New Roman"/>
          <w:i/>
          <w:iCs/>
          <w:sz w:val="24"/>
          <w:szCs w:val="24"/>
        </w:rPr>
        <w:tab/>
      </w:r>
      <w:r w:rsidRPr="00817940">
        <w:rPr>
          <w:rFonts w:ascii="Times New Roman" w:hAnsi="Times New Roman"/>
          <w:i/>
          <w:iCs/>
          <w:sz w:val="24"/>
          <w:szCs w:val="24"/>
        </w:rPr>
        <w:t xml:space="preserve"> intergroup relations</w:t>
      </w:r>
      <w:r w:rsidRPr="00817940">
        <w:rPr>
          <w:rFonts w:ascii="Times New Roman" w:hAnsi="Times New Roman"/>
          <w:sz w:val="24"/>
          <w:szCs w:val="24"/>
        </w:rPr>
        <w:t>. Academic Press.</w:t>
      </w:r>
    </w:p>
    <w:p w14:paraId="2AEB82C4" w14:textId="77777777" w:rsidR="00D426D1" w:rsidRDefault="00D426D1" w:rsidP="0004578D">
      <w:pPr>
        <w:spacing w:beforeLines="50" w:before="120" w:afterLines="50" w:after="120" w:line="240" w:lineRule="auto"/>
        <w:jc w:val="both"/>
        <w:rPr>
          <w:rFonts w:ascii="Times New Roman" w:hAnsi="Times New Roman"/>
          <w:sz w:val="24"/>
          <w:szCs w:val="24"/>
        </w:rPr>
      </w:pPr>
      <w:r w:rsidRPr="0037076E">
        <w:rPr>
          <w:rFonts w:ascii="Times New Roman" w:hAnsi="Times New Roman"/>
          <w:sz w:val="24"/>
          <w:szCs w:val="24"/>
        </w:rPr>
        <w:t xml:space="preserve">Trudgill, Peter. (2000), </w:t>
      </w:r>
      <w:r w:rsidRPr="0037076E">
        <w:rPr>
          <w:rFonts w:ascii="Times New Roman" w:hAnsi="Times New Roman"/>
          <w:i/>
          <w:sz w:val="24"/>
          <w:szCs w:val="24"/>
        </w:rPr>
        <w:t>Sociolinguistics: An Introduction to Language and Society</w:t>
      </w:r>
      <w:r w:rsidRPr="0037076E">
        <w:rPr>
          <w:rFonts w:ascii="Times New Roman" w:hAnsi="Times New Roman"/>
          <w:sz w:val="24"/>
          <w:szCs w:val="24"/>
        </w:rPr>
        <w:t>. England:</w:t>
      </w:r>
      <w:r>
        <w:rPr>
          <w:rFonts w:ascii="Times New Roman" w:hAnsi="Times New Roman"/>
          <w:sz w:val="24"/>
          <w:szCs w:val="24"/>
        </w:rPr>
        <w:tab/>
      </w:r>
      <w:r>
        <w:rPr>
          <w:rFonts w:ascii="Times New Roman" w:hAnsi="Times New Roman"/>
          <w:sz w:val="24"/>
          <w:szCs w:val="24"/>
        </w:rPr>
        <w:tab/>
      </w:r>
      <w:r w:rsidRPr="0037076E">
        <w:rPr>
          <w:rFonts w:ascii="Times New Roman" w:hAnsi="Times New Roman"/>
          <w:sz w:val="24"/>
          <w:szCs w:val="24"/>
        </w:rPr>
        <w:t xml:space="preserve"> Penguin Books. (p.122)</w:t>
      </w:r>
    </w:p>
    <w:p w14:paraId="28045D3D" w14:textId="77777777" w:rsidR="00136FFA" w:rsidRPr="00136FFA" w:rsidRDefault="00136FFA" w:rsidP="00136FFA">
      <w:pPr>
        <w:spacing w:after="0" w:line="240" w:lineRule="auto"/>
        <w:rPr>
          <w:rFonts w:ascii="Times New Roman" w:hAnsi="Times New Roman"/>
          <w:sz w:val="24"/>
          <w:szCs w:val="24"/>
        </w:rPr>
      </w:pPr>
      <w:r w:rsidRPr="00136FFA">
        <w:rPr>
          <w:rFonts w:ascii="Times New Roman" w:hAnsi="Times New Roman"/>
          <w:color w:val="333333"/>
          <w:sz w:val="24"/>
          <w:szCs w:val="24"/>
          <w:shd w:val="clear" w:color="auto" w:fill="FFFFFF"/>
        </w:rPr>
        <w:t>Valberg, A. (2001). Unique hues: An old problem for a new generation. </w:t>
      </w:r>
      <w:r w:rsidRPr="00136FFA">
        <w:rPr>
          <w:rStyle w:val="Emphasis"/>
          <w:rFonts w:ascii="Times New Roman" w:hAnsi="Times New Roman"/>
          <w:color w:val="333333"/>
          <w:sz w:val="24"/>
          <w:szCs w:val="24"/>
          <w:shd w:val="clear" w:color="auto" w:fill="FFFFFF"/>
        </w:rPr>
        <w:t>Vision Research, 41</w:t>
      </w:r>
      <w:r w:rsidRPr="00136FFA">
        <w:rPr>
          <w:rFonts w:ascii="Times New Roman" w:hAnsi="Times New Roman"/>
          <w:color w:val="333333"/>
          <w:sz w:val="24"/>
          <w:szCs w:val="24"/>
          <w:shd w:val="clear" w:color="auto" w:fill="FFFFFF"/>
        </w:rPr>
        <w:t xml:space="preserve">(13), </w:t>
      </w:r>
      <w:r>
        <w:rPr>
          <w:rFonts w:ascii="Times New Roman" w:hAnsi="Times New Roman"/>
          <w:color w:val="333333"/>
          <w:sz w:val="24"/>
          <w:szCs w:val="24"/>
          <w:shd w:val="clear" w:color="auto" w:fill="FFFFFF"/>
        </w:rPr>
        <w:tab/>
      </w:r>
      <w:r w:rsidRPr="00136FFA">
        <w:rPr>
          <w:rFonts w:ascii="Times New Roman" w:hAnsi="Times New Roman"/>
          <w:color w:val="333333"/>
          <w:sz w:val="24"/>
          <w:szCs w:val="24"/>
          <w:shd w:val="clear" w:color="auto" w:fill="FFFFFF"/>
        </w:rPr>
        <w:t>1645-1657.</w:t>
      </w:r>
      <w:r>
        <w:rPr>
          <w:rFonts w:ascii="Times New Roman" w:hAnsi="Times New Roman"/>
          <w:color w:val="333333"/>
          <w:sz w:val="24"/>
          <w:szCs w:val="24"/>
          <w:shd w:val="clear" w:color="auto" w:fill="FFFFFF"/>
        </w:rPr>
        <w:t xml:space="preserve"> </w:t>
      </w:r>
      <w:hyperlink r:id="rId9" w:tgtFrame="_blank" w:history="1">
        <w:r w:rsidRPr="00136FFA">
          <w:rPr>
            <w:rStyle w:val="Hyperlink"/>
            <w:rFonts w:ascii="Times New Roman" w:hAnsi="Times New Roman"/>
            <w:color w:val="2196F3"/>
            <w:sz w:val="24"/>
            <w:szCs w:val="24"/>
            <w:shd w:val="clear" w:color="auto" w:fill="FFFFFF"/>
          </w:rPr>
          <w:t>http://dx.doi.org/10.1016/S0042-6989(01)00041-4</w:t>
        </w:r>
      </w:hyperlink>
    </w:p>
    <w:p w14:paraId="4A79C44D" w14:textId="77777777" w:rsidR="00D426D1" w:rsidRPr="0037076E" w:rsidRDefault="00D426D1" w:rsidP="0004578D">
      <w:pPr>
        <w:shd w:val="clear" w:color="auto" w:fill="FFFFFF"/>
        <w:spacing w:beforeLines="50" w:before="120" w:afterLines="50" w:after="120" w:line="240" w:lineRule="auto"/>
        <w:jc w:val="both"/>
        <w:textAlignment w:val="top"/>
        <w:rPr>
          <w:rFonts w:ascii="Times New Roman" w:hAnsi="Times New Roman"/>
          <w:color w:val="000000"/>
          <w:sz w:val="24"/>
          <w:szCs w:val="24"/>
        </w:rPr>
      </w:pPr>
      <w:r w:rsidRPr="0037076E">
        <w:rPr>
          <w:rFonts w:ascii="Times New Roman" w:hAnsi="Times New Roman"/>
          <w:sz w:val="24"/>
          <w:szCs w:val="24"/>
        </w:rPr>
        <w:t>Van Dijk, Teun A. (2009). Society and Discourse: How Social Contexts Influence Text and Talk.</w:t>
      </w:r>
      <w:r>
        <w:rPr>
          <w:rFonts w:ascii="Times New Roman" w:hAnsi="Times New Roman"/>
          <w:sz w:val="24"/>
          <w:szCs w:val="24"/>
        </w:rPr>
        <w:tab/>
      </w:r>
      <w:r>
        <w:rPr>
          <w:rFonts w:ascii="Times New Roman" w:hAnsi="Times New Roman"/>
          <w:sz w:val="24"/>
          <w:szCs w:val="24"/>
        </w:rPr>
        <w:tab/>
      </w:r>
      <w:r w:rsidRPr="0037076E">
        <w:rPr>
          <w:rFonts w:ascii="Times New Roman" w:hAnsi="Times New Roman"/>
          <w:sz w:val="24"/>
          <w:szCs w:val="24"/>
        </w:rPr>
        <w:t xml:space="preserve"> </w:t>
      </w:r>
      <w:r w:rsidRPr="0037076E">
        <w:rPr>
          <w:rFonts w:ascii="Times New Roman" w:hAnsi="Times New Roman"/>
          <w:i/>
          <w:sz w:val="24"/>
          <w:szCs w:val="24"/>
        </w:rPr>
        <w:t xml:space="preserve">Journal of Languages and Politics. </w:t>
      </w:r>
      <w:r w:rsidRPr="0037076E">
        <w:rPr>
          <w:rFonts w:ascii="Times New Roman" w:hAnsi="Times New Roman"/>
          <w:sz w:val="24"/>
          <w:szCs w:val="24"/>
        </w:rPr>
        <w:t>Vol 9(3).</w:t>
      </w:r>
      <w:r w:rsidRPr="0037076E">
        <w:rPr>
          <w:rFonts w:ascii="Times New Roman" w:hAnsi="Times New Roman"/>
          <w:color w:val="AAAAAA"/>
          <w:sz w:val="24"/>
          <w:szCs w:val="24"/>
        </w:rPr>
        <w:t xml:space="preserve">  </w:t>
      </w:r>
      <w:r w:rsidRPr="0037076E">
        <w:rPr>
          <w:rFonts w:ascii="Times New Roman" w:hAnsi="Times New Roman"/>
          <w:color w:val="000000"/>
          <w:sz w:val="24"/>
          <w:szCs w:val="24"/>
        </w:rPr>
        <w:t xml:space="preserve">Sheffield Hallam University. </w:t>
      </w:r>
      <w:hyperlink r:id="rId10" w:history="1">
        <w:r w:rsidRPr="00E32652">
          <w:rPr>
            <w:rStyle w:val="Hyperlink"/>
            <w:rFonts w:ascii="Times New Roman" w:hAnsi="Times New Roman"/>
            <w:sz w:val="24"/>
            <w:szCs w:val="24"/>
          </w:rPr>
          <w:t xml:space="preserve">DOI: </w:t>
        </w:r>
        <w:r w:rsidRPr="00E32652">
          <w:rPr>
            <w:rStyle w:val="Hyperlink"/>
            <w:rFonts w:ascii="Times New Roman" w:hAnsi="Times New Roman"/>
            <w:sz w:val="24"/>
            <w:szCs w:val="24"/>
          </w:rPr>
          <w:tab/>
          <w:t>10.1075/jlp.9.3.07lam</w:t>
        </w:r>
      </w:hyperlink>
    </w:p>
    <w:p w14:paraId="76E3DF3F" w14:textId="77049DB0" w:rsidR="00F94C57" w:rsidRDefault="00F94C57" w:rsidP="00F94C57">
      <w:pPr>
        <w:rPr>
          <w:rFonts w:ascii="Times New Roman" w:hAnsi="Times New Roman"/>
          <w:sz w:val="24"/>
          <w:szCs w:val="24"/>
        </w:rPr>
      </w:pPr>
      <w:r w:rsidRPr="002D6814">
        <w:rPr>
          <w:rFonts w:ascii="Times New Roman" w:hAnsi="Times New Roman"/>
          <w:sz w:val="24"/>
          <w:szCs w:val="24"/>
        </w:rPr>
        <w:t>Winawer, J., Witthoft, N., Frank, M. C., Wu, L., Wade, A. R., &amp; Boroditsky, L. (2007). Russian</w:t>
      </w:r>
      <w:r>
        <w:rPr>
          <w:rFonts w:ascii="Times New Roman" w:hAnsi="Times New Roman"/>
          <w:sz w:val="24"/>
          <w:szCs w:val="24"/>
        </w:rPr>
        <w:tab/>
      </w:r>
      <w:r>
        <w:rPr>
          <w:rFonts w:ascii="Times New Roman" w:hAnsi="Times New Roman"/>
          <w:sz w:val="24"/>
          <w:szCs w:val="24"/>
        </w:rPr>
        <w:tab/>
      </w:r>
      <w:r w:rsidRPr="002D6814">
        <w:rPr>
          <w:rFonts w:ascii="Times New Roman" w:hAnsi="Times New Roman"/>
          <w:sz w:val="24"/>
          <w:szCs w:val="24"/>
        </w:rPr>
        <w:t xml:space="preserve"> blues reveal</w:t>
      </w:r>
      <w:r>
        <w:rPr>
          <w:rFonts w:ascii="Times New Roman" w:hAnsi="Times New Roman"/>
          <w:sz w:val="24"/>
          <w:szCs w:val="24"/>
        </w:rPr>
        <w:t xml:space="preserve"> </w:t>
      </w:r>
      <w:r w:rsidRPr="002D6814">
        <w:rPr>
          <w:rFonts w:ascii="Times New Roman" w:hAnsi="Times New Roman"/>
          <w:sz w:val="24"/>
          <w:szCs w:val="24"/>
        </w:rPr>
        <w:t>effects of language on color discrimination.</w:t>
      </w:r>
      <w:r>
        <w:rPr>
          <w:rFonts w:ascii="Times New Roman" w:hAnsi="Times New Roman"/>
          <w:sz w:val="24"/>
          <w:szCs w:val="24"/>
        </w:rPr>
        <w:t xml:space="preserve"> </w:t>
      </w:r>
      <w:r w:rsidRPr="002D6814">
        <w:rPr>
          <w:rFonts w:ascii="Times New Roman" w:hAnsi="Times New Roman"/>
          <w:i/>
          <w:sz w:val="24"/>
          <w:szCs w:val="24"/>
        </w:rPr>
        <w:t xml:space="preserve">Proceedings of the National </w:t>
      </w:r>
      <w:r>
        <w:rPr>
          <w:rFonts w:ascii="Times New Roman" w:hAnsi="Times New Roman"/>
          <w:i/>
          <w:sz w:val="24"/>
          <w:szCs w:val="24"/>
        </w:rPr>
        <w:tab/>
      </w:r>
      <w:r w:rsidRPr="002D6814">
        <w:rPr>
          <w:rFonts w:ascii="Times New Roman" w:hAnsi="Times New Roman"/>
          <w:i/>
          <w:sz w:val="24"/>
          <w:szCs w:val="24"/>
        </w:rPr>
        <w:t>Academy of Sciences of the</w:t>
      </w:r>
      <w:r>
        <w:rPr>
          <w:rFonts w:ascii="Times New Roman" w:hAnsi="Times New Roman"/>
          <w:i/>
          <w:sz w:val="24"/>
          <w:szCs w:val="24"/>
        </w:rPr>
        <w:t xml:space="preserve"> </w:t>
      </w:r>
      <w:r w:rsidRPr="002D6814">
        <w:rPr>
          <w:rFonts w:ascii="Times New Roman" w:hAnsi="Times New Roman"/>
          <w:i/>
          <w:sz w:val="24"/>
          <w:szCs w:val="24"/>
        </w:rPr>
        <w:t>United States of America</w:t>
      </w:r>
      <w:r w:rsidRPr="002D6814">
        <w:rPr>
          <w:rFonts w:ascii="Times New Roman" w:hAnsi="Times New Roman"/>
          <w:sz w:val="24"/>
          <w:szCs w:val="24"/>
        </w:rPr>
        <w:t xml:space="preserve">,104(19), 7780–7785. </w:t>
      </w:r>
      <w:r>
        <w:rPr>
          <w:rFonts w:ascii="Times New Roman" w:hAnsi="Times New Roman"/>
          <w:sz w:val="24"/>
          <w:szCs w:val="24"/>
        </w:rPr>
        <w:tab/>
      </w:r>
      <w:r w:rsidRPr="002D6814">
        <w:rPr>
          <w:rFonts w:ascii="Times New Roman" w:hAnsi="Times New Roman"/>
          <w:sz w:val="24"/>
          <w:szCs w:val="24"/>
        </w:rPr>
        <w:t>doi:10.1073/pnas.0701644104</w:t>
      </w:r>
    </w:p>
    <w:p w14:paraId="3C6CA154" w14:textId="33FBD115"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Weinreich, Uriel (1953). </w:t>
      </w:r>
      <w:r>
        <w:rPr>
          <w:rFonts w:ascii="Times New Roman" w:hAnsi="Times New Roman"/>
          <w:i/>
          <w:sz w:val="24"/>
          <w:szCs w:val="24"/>
        </w:rPr>
        <w:t>Languages in Contact.</w:t>
      </w:r>
      <w:r>
        <w:rPr>
          <w:rFonts w:ascii="Times New Roman" w:hAnsi="Times New Roman"/>
          <w:sz w:val="24"/>
          <w:szCs w:val="24"/>
        </w:rPr>
        <w:t xml:space="preserve"> The Hague: Mouton</w:t>
      </w:r>
    </w:p>
    <w:p w14:paraId="7E25EEFA" w14:textId="2E644220" w:rsidR="001D6812" w:rsidRPr="00535822" w:rsidRDefault="0093670B" w:rsidP="0045624C">
      <w:pPr>
        <w:spacing w:beforeLines="50" w:before="120" w:afterLines="50" w:after="120" w:line="240" w:lineRule="auto"/>
        <w:jc w:val="both"/>
        <w:rPr>
          <w:rFonts w:ascii="Times New Roman" w:hAnsi="Times New Roman"/>
          <w:sz w:val="24"/>
          <w:szCs w:val="24"/>
        </w:rPr>
      </w:pPr>
      <w:r w:rsidRPr="0093670B">
        <w:rPr>
          <w:rStyle w:val="current-selection"/>
          <w:rFonts w:ascii="Times New Roman" w:hAnsi="Times New Roman"/>
          <w:sz w:val="24"/>
          <w:szCs w:val="24"/>
          <w:shd w:val="clear" w:color="auto" w:fill="FFFFFF"/>
        </w:rPr>
        <w:t>Whorf, B. L., &amp; Carroll, J. B. (1956).Language, thought, and reality: Selected writings of</w:t>
      </w:r>
      <w:r>
        <w:rPr>
          <w:rStyle w:val="current-selection"/>
          <w:rFonts w:ascii="Times New Roman" w:hAnsi="Times New Roman"/>
          <w:sz w:val="24"/>
          <w:szCs w:val="24"/>
          <w:shd w:val="clear" w:color="auto" w:fill="FFFFFF"/>
        </w:rPr>
        <w:tab/>
      </w:r>
      <w:r>
        <w:rPr>
          <w:rStyle w:val="current-selection"/>
          <w:rFonts w:ascii="Times New Roman" w:hAnsi="Times New Roman"/>
          <w:sz w:val="24"/>
          <w:szCs w:val="24"/>
          <w:shd w:val="clear" w:color="auto" w:fill="FFFFFF"/>
        </w:rPr>
        <w:tab/>
      </w:r>
      <w:r>
        <w:rPr>
          <w:rStyle w:val="current-selection"/>
          <w:rFonts w:ascii="Times New Roman" w:hAnsi="Times New Roman"/>
          <w:sz w:val="24"/>
          <w:szCs w:val="24"/>
          <w:shd w:val="clear" w:color="auto" w:fill="FFFFFF"/>
        </w:rPr>
        <w:tab/>
      </w:r>
      <w:r w:rsidRPr="0093670B">
        <w:rPr>
          <w:rStyle w:val="current-selection"/>
          <w:rFonts w:ascii="Times New Roman" w:hAnsi="Times New Roman"/>
          <w:sz w:val="24"/>
          <w:szCs w:val="24"/>
          <w:shd w:val="clear" w:color="auto" w:fill="FFFFFF"/>
        </w:rPr>
        <w:t>Benjamin LeeWhorf</w:t>
      </w:r>
      <w:r w:rsidR="00C50A49">
        <w:rPr>
          <w:rStyle w:val="current-selection"/>
          <w:rFonts w:ascii="Times New Roman" w:hAnsi="Times New Roman"/>
          <w:sz w:val="24"/>
          <w:szCs w:val="24"/>
          <w:shd w:val="clear" w:color="auto" w:fill="FFFFFF"/>
        </w:rPr>
        <w:t xml:space="preserve"> </w:t>
      </w:r>
      <w:r w:rsidRPr="0093670B">
        <w:rPr>
          <w:rStyle w:val="current-selection"/>
          <w:rFonts w:ascii="Times New Roman" w:hAnsi="Times New Roman"/>
          <w:sz w:val="24"/>
          <w:szCs w:val="24"/>
          <w:shd w:val="clear" w:color="auto" w:fill="FFFFFF"/>
        </w:rPr>
        <w:t>(Vol. 5). Cambridge, MA: MIT Press</w:t>
      </w:r>
    </w:p>
    <w:sectPr w:rsidR="001D6812" w:rsidRPr="00535822" w:rsidSect="001178A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D6AB9A" w14:textId="77777777" w:rsidR="00E77E44" w:rsidRDefault="00E77E44" w:rsidP="00AF0BA6">
      <w:pPr>
        <w:spacing w:after="0" w:line="240" w:lineRule="auto"/>
      </w:pPr>
      <w:r>
        <w:separator/>
      </w:r>
    </w:p>
  </w:endnote>
  <w:endnote w:type="continuationSeparator" w:id="0">
    <w:p w14:paraId="00CA7F64" w14:textId="77777777" w:rsidR="00E77E44" w:rsidRDefault="00E77E44" w:rsidP="00AF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9DD32" w14:textId="77777777" w:rsidR="00BA3A42" w:rsidRDefault="00BA3A42">
    <w:pPr>
      <w:pStyle w:val="Footer"/>
      <w:jc w:val="center"/>
    </w:pPr>
    <w:r>
      <w:rPr>
        <w:noProof/>
      </w:rPr>
      <w:fldChar w:fldCharType="begin"/>
    </w:r>
    <w:r>
      <w:rPr>
        <w:noProof/>
      </w:rPr>
      <w:instrText xml:space="preserve"> PAGE   \* MERGEFORMAT </w:instrText>
    </w:r>
    <w:r>
      <w:rPr>
        <w:noProof/>
      </w:rPr>
      <w:fldChar w:fldCharType="separate"/>
    </w:r>
    <w:r>
      <w:rPr>
        <w:noProof/>
      </w:rPr>
      <w:t>16</w:t>
    </w:r>
    <w:r>
      <w:rPr>
        <w:noProof/>
      </w:rPr>
      <w:fldChar w:fldCharType="end"/>
    </w:r>
  </w:p>
  <w:p w14:paraId="3ED7B9A8" w14:textId="77777777" w:rsidR="00BA3A42" w:rsidRDefault="00BA3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2507E3" w14:textId="77777777" w:rsidR="00E77E44" w:rsidRDefault="00E77E44" w:rsidP="00AF0BA6">
      <w:pPr>
        <w:spacing w:after="0" w:line="240" w:lineRule="auto"/>
      </w:pPr>
      <w:r>
        <w:separator/>
      </w:r>
    </w:p>
  </w:footnote>
  <w:footnote w:type="continuationSeparator" w:id="0">
    <w:p w14:paraId="380E0774" w14:textId="77777777" w:rsidR="00E77E44" w:rsidRDefault="00E77E44" w:rsidP="00AF0B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0570E"/>
    <w:multiLevelType w:val="hybridMultilevel"/>
    <w:tmpl w:val="185A95F8"/>
    <w:lvl w:ilvl="0" w:tplc="DACA29EE">
      <w:start w:val="1"/>
      <w:numFmt w:val="lowerLetter"/>
      <w:lvlText w:val="%1."/>
      <w:lvlJc w:val="left"/>
      <w:pPr>
        <w:ind w:left="720" w:hanging="360"/>
      </w:pPr>
      <w:rPr>
        <w:rFonts w:ascii="Times New Roman" w:eastAsia="Times New Roman" w:hAnsi="Times New Roman" w:cs="Times New Roman"/>
        <w: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5EC41A3"/>
    <w:multiLevelType w:val="hybridMultilevel"/>
    <w:tmpl w:val="CEA651E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B0F3C2B"/>
    <w:multiLevelType w:val="multilevel"/>
    <w:tmpl w:val="F4AC0F2E"/>
    <w:lvl w:ilvl="0">
      <w:start w:val="2"/>
      <w:numFmt w:val="decimal"/>
      <w:lvlText w:val="%1.0."/>
      <w:lvlJc w:val="left"/>
      <w:pPr>
        <w:ind w:left="72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240" w:hanging="720"/>
      </w:pPr>
      <w:rPr>
        <w:rFonts w:cs="Times New Roman" w:hint="default"/>
      </w:rPr>
    </w:lvl>
    <w:lvl w:ilvl="4">
      <w:start w:val="1"/>
      <w:numFmt w:val="decimal"/>
      <w:lvlText w:val="%1.%2.%3.%4.%5."/>
      <w:lvlJc w:val="left"/>
      <w:pPr>
        <w:ind w:left="4320" w:hanging="1080"/>
      </w:pPr>
      <w:rPr>
        <w:rFonts w:cs="Times New Roman" w:hint="default"/>
      </w:rPr>
    </w:lvl>
    <w:lvl w:ilvl="5">
      <w:start w:val="1"/>
      <w:numFmt w:val="decimal"/>
      <w:lvlText w:val="%1.%2.%3.%4.%5.%6."/>
      <w:lvlJc w:val="left"/>
      <w:pPr>
        <w:ind w:left="504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840" w:hanging="1440"/>
      </w:pPr>
      <w:rPr>
        <w:rFonts w:cs="Times New Roman" w:hint="default"/>
      </w:rPr>
    </w:lvl>
    <w:lvl w:ilvl="8">
      <w:start w:val="1"/>
      <w:numFmt w:val="decimal"/>
      <w:lvlText w:val="%1.%2.%3.%4.%5.%6.%7.%8.%9."/>
      <w:lvlJc w:val="left"/>
      <w:pPr>
        <w:ind w:left="7920" w:hanging="1800"/>
      </w:pPr>
      <w:rPr>
        <w:rFonts w:cs="Times New Roman" w:hint="default"/>
      </w:rPr>
    </w:lvl>
  </w:abstractNum>
  <w:abstractNum w:abstractNumId="3" w15:restartNumberingAfterBreak="0">
    <w:nsid w:val="1C77332E"/>
    <w:multiLevelType w:val="hybridMultilevel"/>
    <w:tmpl w:val="9E98AE7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3C26164"/>
    <w:multiLevelType w:val="hybridMultilevel"/>
    <w:tmpl w:val="EFC608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BD405B3"/>
    <w:multiLevelType w:val="hybridMultilevel"/>
    <w:tmpl w:val="AE8CBD8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44B92E38"/>
    <w:multiLevelType w:val="multilevel"/>
    <w:tmpl w:val="CE682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335351"/>
    <w:multiLevelType w:val="multilevel"/>
    <w:tmpl w:val="1D28F13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75B3B6A"/>
    <w:multiLevelType w:val="hybridMultilevel"/>
    <w:tmpl w:val="FE222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687FE5"/>
    <w:multiLevelType w:val="multilevel"/>
    <w:tmpl w:val="A0926ED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DE04F7D"/>
    <w:multiLevelType w:val="multilevel"/>
    <w:tmpl w:val="50ECE32A"/>
    <w:lvl w:ilvl="0">
      <w:start w:val="1"/>
      <w:numFmt w:val="decimal"/>
      <w:lvlText w:val="%1.0."/>
      <w:lvlJc w:val="left"/>
      <w:pPr>
        <w:ind w:left="72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240" w:hanging="720"/>
      </w:pPr>
      <w:rPr>
        <w:rFonts w:cs="Times New Roman" w:hint="default"/>
      </w:rPr>
    </w:lvl>
    <w:lvl w:ilvl="4">
      <w:start w:val="1"/>
      <w:numFmt w:val="decimal"/>
      <w:lvlText w:val="%1.%2.%3.%4.%5."/>
      <w:lvlJc w:val="left"/>
      <w:pPr>
        <w:ind w:left="4320" w:hanging="1080"/>
      </w:pPr>
      <w:rPr>
        <w:rFonts w:cs="Times New Roman" w:hint="default"/>
      </w:rPr>
    </w:lvl>
    <w:lvl w:ilvl="5">
      <w:start w:val="1"/>
      <w:numFmt w:val="decimal"/>
      <w:lvlText w:val="%1.%2.%3.%4.%5.%6."/>
      <w:lvlJc w:val="left"/>
      <w:pPr>
        <w:ind w:left="504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840" w:hanging="1440"/>
      </w:pPr>
      <w:rPr>
        <w:rFonts w:cs="Times New Roman" w:hint="default"/>
      </w:rPr>
    </w:lvl>
    <w:lvl w:ilvl="8">
      <w:start w:val="1"/>
      <w:numFmt w:val="decimal"/>
      <w:lvlText w:val="%1.%2.%3.%4.%5.%6.%7.%8.%9."/>
      <w:lvlJc w:val="left"/>
      <w:pPr>
        <w:ind w:left="7920" w:hanging="1800"/>
      </w:pPr>
      <w:rPr>
        <w:rFonts w:cs="Times New Roman" w:hint="default"/>
      </w:rPr>
    </w:lvl>
  </w:abstractNum>
  <w:abstractNum w:abstractNumId="11" w15:restartNumberingAfterBreak="0">
    <w:nsid w:val="54EC36FD"/>
    <w:multiLevelType w:val="multilevel"/>
    <w:tmpl w:val="A85A1FF0"/>
    <w:lvl w:ilvl="0">
      <w:start w:val="6"/>
      <w:numFmt w:val="decimal"/>
      <w:lvlText w:val="%1.0"/>
      <w:lvlJc w:val="left"/>
      <w:pPr>
        <w:ind w:left="144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324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040" w:hanging="1080"/>
      </w:pPr>
      <w:rPr>
        <w:rFonts w:cs="Times New Roman" w:hint="default"/>
      </w:rPr>
    </w:lvl>
    <w:lvl w:ilvl="5">
      <w:start w:val="1"/>
      <w:numFmt w:val="decimal"/>
      <w:lvlText w:val="%1.%2.%3.%4.%5.%6"/>
      <w:lvlJc w:val="left"/>
      <w:pPr>
        <w:ind w:left="576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560" w:hanging="1440"/>
      </w:pPr>
      <w:rPr>
        <w:rFonts w:cs="Times New Roman" w:hint="default"/>
      </w:rPr>
    </w:lvl>
    <w:lvl w:ilvl="8">
      <w:start w:val="1"/>
      <w:numFmt w:val="decimal"/>
      <w:lvlText w:val="%1.%2.%3.%4.%5.%6.%7.%8.%9"/>
      <w:lvlJc w:val="left"/>
      <w:pPr>
        <w:ind w:left="8640" w:hanging="1800"/>
      </w:pPr>
      <w:rPr>
        <w:rFonts w:cs="Times New Roman" w:hint="default"/>
      </w:rPr>
    </w:lvl>
  </w:abstractNum>
  <w:abstractNum w:abstractNumId="12" w15:restartNumberingAfterBreak="0">
    <w:nsid w:val="57FC33DE"/>
    <w:multiLevelType w:val="multilevel"/>
    <w:tmpl w:val="7EE247D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15:restartNumberingAfterBreak="0">
    <w:nsid w:val="62145439"/>
    <w:multiLevelType w:val="hybridMultilevel"/>
    <w:tmpl w:val="CD1EB7A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677F405F"/>
    <w:multiLevelType w:val="multilevel"/>
    <w:tmpl w:val="856CEADC"/>
    <w:lvl w:ilvl="0">
      <w:start w:val="2"/>
      <w:numFmt w:val="decimal"/>
      <w:lvlText w:val="%1.0."/>
      <w:lvlJc w:val="left"/>
      <w:pPr>
        <w:ind w:left="720" w:hanging="360"/>
      </w:pPr>
      <w:rPr>
        <w:rFonts w:cs="Times New Roman" w:hint="default"/>
        <w:b/>
      </w:rPr>
    </w:lvl>
    <w:lvl w:ilvl="1">
      <w:start w:val="1"/>
      <w:numFmt w:val="decimal"/>
      <w:lvlText w:val="%1.%2."/>
      <w:lvlJc w:val="left"/>
      <w:pPr>
        <w:ind w:left="1440" w:hanging="360"/>
      </w:pPr>
      <w:rPr>
        <w:rFonts w:cs="Times New Roman" w:hint="default"/>
        <w:b/>
      </w:rPr>
    </w:lvl>
    <w:lvl w:ilvl="2">
      <w:start w:val="1"/>
      <w:numFmt w:val="decimal"/>
      <w:lvlText w:val="%1.%2.%3."/>
      <w:lvlJc w:val="left"/>
      <w:pPr>
        <w:ind w:left="2520" w:hanging="720"/>
      </w:pPr>
      <w:rPr>
        <w:rFonts w:cs="Times New Roman" w:hint="default"/>
        <w:b/>
      </w:rPr>
    </w:lvl>
    <w:lvl w:ilvl="3">
      <w:start w:val="1"/>
      <w:numFmt w:val="decimal"/>
      <w:lvlText w:val="%1.%2.%3.%4."/>
      <w:lvlJc w:val="left"/>
      <w:pPr>
        <w:ind w:left="3240" w:hanging="720"/>
      </w:pPr>
      <w:rPr>
        <w:rFonts w:cs="Times New Roman" w:hint="default"/>
        <w:b/>
      </w:rPr>
    </w:lvl>
    <w:lvl w:ilvl="4">
      <w:start w:val="1"/>
      <w:numFmt w:val="decimal"/>
      <w:lvlText w:val="%1.%2.%3.%4.%5."/>
      <w:lvlJc w:val="left"/>
      <w:pPr>
        <w:ind w:left="4320" w:hanging="1080"/>
      </w:pPr>
      <w:rPr>
        <w:rFonts w:cs="Times New Roman" w:hint="default"/>
        <w:b/>
      </w:rPr>
    </w:lvl>
    <w:lvl w:ilvl="5">
      <w:start w:val="1"/>
      <w:numFmt w:val="decimal"/>
      <w:lvlText w:val="%1.%2.%3.%4.%5.%6."/>
      <w:lvlJc w:val="left"/>
      <w:pPr>
        <w:ind w:left="5040" w:hanging="1080"/>
      </w:pPr>
      <w:rPr>
        <w:rFonts w:cs="Times New Roman" w:hint="default"/>
        <w:b/>
      </w:rPr>
    </w:lvl>
    <w:lvl w:ilvl="6">
      <w:start w:val="1"/>
      <w:numFmt w:val="decimal"/>
      <w:lvlText w:val="%1.%2.%3.%4.%5.%6.%7."/>
      <w:lvlJc w:val="left"/>
      <w:pPr>
        <w:ind w:left="6120" w:hanging="1440"/>
      </w:pPr>
      <w:rPr>
        <w:rFonts w:cs="Times New Roman" w:hint="default"/>
        <w:b/>
      </w:rPr>
    </w:lvl>
    <w:lvl w:ilvl="7">
      <w:start w:val="1"/>
      <w:numFmt w:val="decimal"/>
      <w:lvlText w:val="%1.%2.%3.%4.%5.%6.%7.%8."/>
      <w:lvlJc w:val="left"/>
      <w:pPr>
        <w:ind w:left="6840" w:hanging="1440"/>
      </w:pPr>
      <w:rPr>
        <w:rFonts w:cs="Times New Roman" w:hint="default"/>
        <w:b/>
      </w:rPr>
    </w:lvl>
    <w:lvl w:ilvl="8">
      <w:start w:val="1"/>
      <w:numFmt w:val="decimal"/>
      <w:lvlText w:val="%1.%2.%3.%4.%5.%6.%7.%8.%9."/>
      <w:lvlJc w:val="left"/>
      <w:pPr>
        <w:ind w:left="7920" w:hanging="1800"/>
      </w:pPr>
      <w:rPr>
        <w:rFonts w:cs="Times New Roman" w:hint="default"/>
        <w:b/>
      </w:rPr>
    </w:lvl>
  </w:abstractNum>
  <w:abstractNum w:abstractNumId="15" w15:restartNumberingAfterBreak="0">
    <w:nsid w:val="71F92943"/>
    <w:multiLevelType w:val="hybridMultilevel"/>
    <w:tmpl w:val="9E98AE7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15"/>
  </w:num>
  <w:num w:numId="3">
    <w:abstractNumId w:val="13"/>
  </w:num>
  <w:num w:numId="4">
    <w:abstractNumId w:val="0"/>
  </w:num>
  <w:num w:numId="5">
    <w:abstractNumId w:val="3"/>
  </w:num>
  <w:num w:numId="6">
    <w:abstractNumId w:val="12"/>
  </w:num>
  <w:num w:numId="7">
    <w:abstractNumId w:val="14"/>
  </w:num>
  <w:num w:numId="8">
    <w:abstractNumId w:val="11"/>
  </w:num>
  <w:num w:numId="9">
    <w:abstractNumId w:val="2"/>
  </w:num>
  <w:num w:numId="10">
    <w:abstractNumId w:val="10"/>
  </w:num>
  <w:num w:numId="11">
    <w:abstractNumId w:val="9"/>
  </w:num>
  <w:num w:numId="12">
    <w:abstractNumId w:val="7"/>
  </w:num>
  <w:num w:numId="13">
    <w:abstractNumId w:val="8"/>
  </w:num>
  <w:num w:numId="14">
    <w:abstractNumId w:val="4"/>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339"/>
    <w:rsid w:val="00006643"/>
    <w:rsid w:val="00020F8B"/>
    <w:rsid w:val="0004578D"/>
    <w:rsid w:val="0006290A"/>
    <w:rsid w:val="00083C31"/>
    <w:rsid w:val="00087A00"/>
    <w:rsid w:val="000B5622"/>
    <w:rsid w:val="001178A8"/>
    <w:rsid w:val="00122FD7"/>
    <w:rsid w:val="001263F1"/>
    <w:rsid w:val="001278F2"/>
    <w:rsid w:val="00136FFA"/>
    <w:rsid w:val="0017236E"/>
    <w:rsid w:val="00174F43"/>
    <w:rsid w:val="00180083"/>
    <w:rsid w:val="001864AA"/>
    <w:rsid w:val="00196624"/>
    <w:rsid w:val="001A2630"/>
    <w:rsid w:val="001B5C9D"/>
    <w:rsid w:val="001D308D"/>
    <w:rsid w:val="001D6812"/>
    <w:rsid w:val="001E69C9"/>
    <w:rsid w:val="001F0E9D"/>
    <w:rsid w:val="0021797F"/>
    <w:rsid w:val="00250460"/>
    <w:rsid w:val="0026461C"/>
    <w:rsid w:val="0026738F"/>
    <w:rsid w:val="00270023"/>
    <w:rsid w:val="002A2EB2"/>
    <w:rsid w:val="002B013A"/>
    <w:rsid w:val="002B48CA"/>
    <w:rsid w:val="002C5B9E"/>
    <w:rsid w:val="002E0010"/>
    <w:rsid w:val="002E44E6"/>
    <w:rsid w:val="00321E0F"/>
    <w:rsid w:val="0033247D"/>
    <w:rsid w:val="003568F2"/>
    <w:rsid w:val="003639D2"/>
    <w:rsid w:val="0037076E"/>
    <w:rsid w:val="003711AE"/>
    <w:rsid w:val="00393EB0"/>
    <w:rsid w:val="003A5E75"/>
    <w:rsid w:val="003B619D"/>
    <w:rsid w:val="003C3456"/>
    <w:rsid w:val="003F2F54"/>
    <w:rsid w:val="00425106"/>
    <w:rsid w:val="0042743E"/>
    <w:rsid w:val="00432FAE"/>
    <w:rsid w:val="00450154"/>
    <w:rsid w:val="0045624C"/>
    <w:rsid w:val="00457192"/>
    <w:rsid w:val="004577BF"/>
    <w:rsid w:val="00461497"/>
    <w:rsid w:val="00462DAB"/>
    <w:rsid w:val="004734E8"/>
    <w:rsid w:val="00473CC6"/>
    <w:rsid w:val="004901C7"/>
    <w:rsid w:val="004B7EBD"/>
    <w:rsid w:val="004D2585"/>
    <w:rsid w:val="004E433D"/>
    <w:rsid w:val="004F61AC"/>
    <w:rsid w:val="004F6DBB"/>
    <w:rsid w:val="005164B3"/>
    <w:rsid w:val="005336C8"/>
    <w:rsid w:val="00535822"/>
    <w:rsid w:val="00537115"/>
    <w:rsid w:val="00543759"/>
    <w:rsid w:val="0055603E"/>
    <w:rsid w:val="005A0EDF"/>
    <w:rsid w:val="00614256"/>
    <w:rsid w:val="00620AE2"/>
    <w:rsid w:val="00624DFF"/>
    <w:rsid w:val="00635C89"/>
    <w:rsid w:val="006450BD"/>
    <w:rsid w:val="006626B5"/>
    <w:rsid w:val="0069058F"/>
    <w:rsid w:val="00692A5B"/>
    <w:rsid w:val="006B4416"/>
    <w:rsid w:val="006B6416"/>
    <w:rsid w:val="006B7347"/>
    <w:rsid w:val="006B7E38"/>
    <w:rsid w:val="006C3FE5"/>
    <w:rsid w:val="006E5E64"/>
    <w:rsid w:val="006F6B7E"/>
    <w:rsid w:val="00726227"/>
    <w:rsid w:val="00730FED"/>
    <w:rsid w:val="00733062"/>
    <w:rsid w:val="00770B25"/>
    <w:rsid w:val="00773F00"/>
    <w:rsid w:val="007864FD"/>
    <w:rsid w:val="00796683"/>
    <w:rsid w:val="007A1BAF"/>
    <w:rsid w:val="007D05A3"/>
    <w:rsid w:val="00800E48"/>
    <w:rsid w:val="00815346"/>
    <w:rsid w:val="00817940"/>
    <w:rsid w:val="00827A10"/>
    <w:rsid w:val="00837588"/>
    <w:rsid w:val="008675A3"/>
    <w:rsid w:val="00897A66"/>
    <w:rsid w:val="008B3A2C"/>
    <w:rsid w:val="008C06AF"/>
    <w:rsid w:val="008D3662"/>
    <w:rsid w:val="008F3688"/>
    <w:rsid w:val="00913619"/>
    <w:rsid w:val="00914488"/>
    <w:rsid w:val="009179AA"/>
    <w:rsid w:val="00921963"/>
    <w:rsid w:val="00923608"/>
    <w:rsid w:val="00925989"/>
    <w:rsid w:val="0093670B"/>
    <w:rsid w:val="00940256"/>
    <w:rsid w:val="0094690C"/>
    <w:rsid w:val="00953632"/>
    <w:rsid w:val="009623D0"/>
    <w:rsid w:val="009731CE"/>
    <w:rsid w:val="009731D7"/>
    <w:rsid w:val="009A5679"/>
    <w:rsid w:val="009A68B8"/>
    <w:rsid w:val="009C1099"/>
    <w:rsid w:val="009C6619"/>
    <w:rsid w:val="00A12925"/>
    <w:rsid w:val="00A46791"/>
    <w:rsid w:val="00A63EFB"/>
    <w:rsid w:val="00A81784"/>
    <w:rsid w:val="00AF0BA6"/>
    <w:rsid w:val="00B0203B"/>
    <w:rsid w:val="00B04DF7"/>
    <w:rsid w:val="00B52BDF"/>
    <w:rsid w:val="00B66080"/>
    <w:rsid w:val="00B74F1A"/>
    <w:rsid w:val="00B94977"/>
    <w:rsid w:val="00BA3A42"/>
    <w:rsid w:val="00BD3480"/>
    <w:rsid w:val="00BD6690"/>
    <w:rsid w:val="00BF7F80"/>
    <w:rsid w:val="00C21805"/>
    <w:rsid w:val="00C50A49"/>
    <w:rsid w:val="00C70B57"/>
    <w:rsid w:val="00C7464A"/>
    <w:rsid w:val="00C77D0C"/>
    <w:rsid w:val="00C9118A"/>
    <w:rsid w:val="00CA0346"/>
    <w:rsid w:val="00CD39E3"/>
    <w:rsid w:val="00CE3339"/>
    <w:rsid w:val="00D00E1B"/>
    <w:rsid w:val="00D16118"/>
    <w:rsid w:val="00D35E42"/>
    <w:rsid w:val="00D4132B"/>
    <w:rsid w:val="00D426D1"/>
    <w:rsid w:val="00D4747A"/>
    <w:rsid w:val="00D7462F"/>
    <w:rsid w:val="00D75B8F"/>
    <w:rsid w:val="00D87F5C"/>
    <w:rsid w:val="00D94969"/>
    <w:rsid w:val="00DA7A35"/>
    <w:rsid w:val="00DB1277"/>
    <w:rsid w:val="00DB50F1"/>
    <w:rsid w:val="00DB681D"/>
    <w:rsid w:val="00DD1646"/>
    <w:rsid w:val="00DE4906"/>
    <w:rsid w:val="00E179A9"/>
    <w:rsid w:val="00E32652"/>
    <w:rsid w:val="00E43354"/>
    <w:rsid w:val="00E442E1"/>
    <w:rsid w:val="00E500F1"/>
    <w:rsid w:val="00E6303F"/>
    <w:rsid w:val="00E77E44"/>
    <w:rsid w:val="00E80420"/>
    <w:rsid w:val="00E91380"/>
    <w:rsid w:val="00E94F3C"/>
    <w:rsid w:val="00EB3B30"/>
    <w:rsid w:val="00ED1F7A"/>
    <w:rsid w:val="00EE45C6"/>
    <w:rsid w:val="00EE6A83"/>
    <w:rsid w:val="00F12843"/>
    <w:rsid w:val="00F13BEB"/>
    <w:rsid w:val="00F14F44"/>
    <w:rsid w:val="00F17FFB"/>
    <w:rsid w:val="00F45ED7"/>
    <w:rsid w:val="00F813EC"/>
    <w:rsid w:val="00F904CC"/>
    <w:rsid w:val="00F94C57"/>
    <w:rsid w:val="00F94D85"/>
    <w:rsid w:val="00FC2F3A"/>
    <w:rsid w:val="00FC4EB2"/>
    <w:rsid w:val="00FC5994"/>
    <w:rsid w:val="00FD3E7C"/>
    <w:rsid w:val="00FE7AEE"/>
    <w:rsid w:val="00FF5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80A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8A8"/>
    <w:pPr>
      <w:spacing w:after="200" w:line="276" w:lineRule="auto"/>
    </w:pPr>
    <w:rPr>
      <w:sz w:val="22"/>
      <w:szCs w:val="22"/>
    </w:rPr>
  </w:style>
  <w:style w:type="paragraph" w:styleId="Heading1">
    <w:name w:val="heading 1"/>
    <w:basedOn w:val="Normal"/>
    <w:link w:val="Heading1Char"/>
    <w:uiPriority w:val="99"/>
    <w:qFormat/>
    <w:rsid w:val="00C70B5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70B57"/>
    <w:rPr>
      <w:rFonts w:ascii="Times New Roman" w:hAnsi="Times New Roman" w:cs="Times New Roman"/>
      <w:b/>
      <w:bCs/>
      <w:kern w:val="36"/>
      <w:sz w:val="48"/>
      <w:szCs w:val="48"/>
    </w:rPr>
  </w:style>
  <w:style w:type="paragraph" w:styleId="NoSpacing">
    <w:name w:val="No Spacing"/>
    <w:uiPriority w:val="99"/>
    <w:qFormat/>
    <w:rsid w:val="00BD3480"/>
    <w:rPr>
      <w:sz w:val="22"/>
      <w:szCs w:val="22"/>
    </w:rPr>
  </w:style>
  <w:style w:type="character" w:styleId="Hyperlink">
    <w:name w:val="Hyperlink"/>
    <w:uiPriority w:val="99"/>
    <w:rsid w:val="00BD3480"/>
    <w:rPr>
      <w:rFonts w:cs="Times New Roman"/>
      <w:color w:val="0000FF"/>
      <w:u w:val="single"/>
    </w:rPr>
  </w:style>
  <w:style w:type="paragraph" w:styleId="ListParagraph">
    <w:name w:val="List Paragraph"/>
    <w:basedOn w:val="Normal"/>
    <w:uiPriority w:val="99"/>
    <w:qFormat/>
    <w:rsid w:val="00C70B57"/>
    <w:pPr>
      <w:ind w:left="720"/>
      <w:contextualSpacing/>
    </w:pPr>
  </w:style>
  <w:style w:type="character" w:customStyle="1" w:styleId="pipe">
    <w:name w:val="pipe"/>
    <w:uiPriority w:val="99"/>
    <w:rsid w:val="00C70B57"/>
    <w:rPr>
      <w:rFonts w:cs="Times New Roman"/>
    </w:rPr>
  </w:style>
  <w:style w:type="character" w:customStyle="1" w:styleId="hlfld-contribauthor">
    <w:name w:val="hlfld-contribauthor"/>
    <w:uiPriority w:val="99"/>
    <w:rsid w:val="00C70B57"/>
    <w:rPr>
      <w:rFonts w:cs="Times New Roman"/>
    </w:rPr>
  </w:style>
  <w:style w:type="character" w:customStyle="1" w:styleId="nlmgiven-names">
    <w:name w:val="nlm_given-names"/>
    <w:uiPriority w:val="99"/>
    <w:rsid w:val="00C70B57"/>
    <w:rPr>
      <w:rFonts w:cs="Times New Roman"/>
    </w:rPr>
  </w:style>
  <w:style w:type="character" w:customStyle="1" w:styleId="nlmyear">
    <w:name w:val="nlm_year"/>
    <w:uiPriority w:val="99"/>
    <w:rsid w:val="00C70B57"/>
    <w:rPr>
      <w:rFonts w:cs="Times New Roman"/>
    </w:rPr>
  </w:style>
  <w:style w:type="paragraph" w:styleId="Header">
    <w:name w:val="header"/>
    <w:basedOn w:val="Normal"/>
    <w:link w:val="HeaderChar"/>
    <w:uiPriority w:val="99"/>
    <w:rsid w:val="00AF0BA6"/>
    <w:pPr>
      <w:tabs>
        <w:tab w:val="center" w:pos="4680"/>
        <w:tab w:val="right" w:pos="9360"/>
      </w:tabs>
      <w:spacing w:after="0" w:line="240" w:lineRule="auto"/>
    </w:pPr>
  </w:style>
  <w:style w:type="character" w:customStyle="1" w:styleId="HeaderChar">
    <w:name w:val="Header Char"/>
    <w:link w:val="Header"/>
    <w:uiPriority w:val="99"/>
    <w:locked/>
    <w:rsid w:val="00AF0BA6"/>
    <w:rPr>
      <w:rFonts w:cs="Times New Roman"/>
    </w:rPr>
  </w:style>
  <w:style w:type="paragraph" w:styleId="Footer">
    <w:name w:val="footer"/>
    <w:basedOn w:val="Normal"/>
    <w:link w:val="FooterChar"/>
    <w:uiPriority w:val="99"/>
    <w:rsid w:val="00AF0BA6"/>
    <w:pPr>
      <w:tabs>
        <w:tab w:val="center" w:pos="4680"/>
        <w:tab w:val="right" w:pos="9360"/>
      </w:tabs>
      <w:spacing w:after="0" w:line="240" w:lineRule="auto"/>
    </w:pPr>
  </w:style>
  <w:style w:type="character" w:customStyle="1" w:styleId="FooterChar">
    <w:name w:val="Footer Char"/>
    <w:link w:val="Footer"/>
    <w:uiPriority w:val="99"/>
    <w:locked/>
    <w:rsid w:val="00AF0BA6"/>
    <w:rPr>
      <w:rFonts w:cs="Times New Roman"/>
    </w:rPr>
  </w:style>
  <w:style w:type="character" w:styleId="FollowedHyperlink">
    <w:name w:val="FollowedHyperlink"/>
    <w:uiPriority w:val="99"/>
    <w:semiHidden/>
    <w:rsid w:val="00E32652"/>
    <w:rPr>
      <w:rFonts w:cs="Times New Roman"/>
      <w:color w:val="800080"/>
      <w:u w:val="single"/>
    </w:rPr>
  </w:style>
  <w:style w:type="character" w:customStyle="1" w:styleId="UnresolvedMention1">
    <w:name w:val="Unresolved Mention1"/>
    <w:uiPriority w:val="99"/>
    <w:semiHidden/>
    <w:rsid w:val="00E32652"/>
    <w:rPr>
      <w:rFonts w:cs="Times New Roman"/>
      <w:color w:val="808080"/>
      <w:shd w:val="clear" w:color="auto" w:fill="E6E6E6"/>
    </w:rPr>
  </w:style>
  <w:style w:type="paragraph" w:styleId="BalloonText">
    <w:name w:val="Balloon Text"/>
    <w:basedOn w:val="Normal"/>
    <w:link w:val="BalloonTextChar"/>
    <w:uiPriority w:val="99"/>
    <w:semiHidden/>
    <w:rsid w:val="0006290A"/>
    <w:rPr>
      <w:rFonts w:ascii="Tahoma" w:hAnsi="Tahoma" w:cs="Tahoma"/>
      <w:sz w:val="16"/>
      <w:szCs w:val="16"/>
    </w:rPr>
  </w:style>
  <w:style w:type="character" w:customStyle="1" w:styleId="BalloonTextChar">
    <w:name w:val="Balloon Text Char"/>
    <w:link w:val="BalloonText"/>
    <w:uiPriority w:val="99"/>
    <w:semiHidden/>
    <w:rsid w:val="00BE06E3"/>
    <w:rPr>
      <w:rFonts w:ascii="Times New Roman" w:hAnsi="Times New Roman"/>
      <w:sz w:val="0"/>
      <w:szCs w:val="0"/>
    </w:rPr>
  </w:style>
  <w:style w:type="paragraph" w:customStyle="1" w:styleId="Default">
    <w:name w:val="Default"/>
    <w:rsid w:val="00425106"/>
    <w:pPr>
      <w:autoSpaceDE w:val="0"/>
      <w:autoSpaceDN w:val="0"/>
      <w:adjustRightInd w:val="0"/>
    </w:pPr>
    <w:rPr>
      <w:rFonts w:ascii="Times New Roman" w:hAnsi="Times New Roman"/>
      <w:color w:val="000000"/>
      <w:sz w:val="24"/>
      <w:szCs w:val="24"/>
    </w:rPr>
  </w:style>
  <w:style w:type="character" w:styleId="UnresolvedMention">
    <w:name w:val="Unresolved Mention"/>
    <w:uiPriority w:val="99"/>
    <w:semiHidden/>
    <w:unhideWhenUsed/>
    <w:rsid w:val="00B94977"/>
    <w:rPr>
      <w:color w:val="808080"/>
      <w:shd w:val="clear" w:color="auto" w:fill="E6E6E6"/>
    </w:rPr>
  </w:style>
  <w:style w:type="character" w:styleId="Emphasis">
    <w:name w:val="Emphasis"/>
    <w:uiPriority w:val="20"/>
    <w:qFormat/>
    <w:locked/>
    <w:rsid w:val="009C1099"/>
    <w:rPr>
      <w:i/>
      <w:iCs/>
    </w:rPr>
  </w:style>
  <w:style w:type="paragraph" w:styleId="Revision">
    <w:name w:val="Revision"/>
    <w:hidden/>
    <w:uiPriority w:val="99"/>
    <w:semiHidden/>
    <w:rsid w:val="003711AE"/>
    <w:rPr>
      <w:sz w:val="22"/>
      <w:szCs w:val="22"/>
    </w:rPr>
  </w:style>
  <w:style w:type="paragraph" w:customStyle="1" w:styleId="first">
    <w:name w:val="first"/>
    <w:basedOn w:val="Normal"/>
    <w:rsid w:val="0093670B"/>
    <w:pPr>
      <w:spacing w:before="100" w:beforeAutospacing="1" w:after="100" w:afterAutospacing="1" w:line="240" w:lineRule="auto"/>
    </w:pPr>
    <w:rPr>
      <w:rFonts w:ascii="Times New Roman" w:eastAsia="Times New Roman" w:hAnsi="Times New Roman"/>
      <w:sz w:val="24"/>
      <w:szCs w:val="24"/>
    </w:rPr>
  </w:style>
  <w:style w:type="paragraph" w:customStyle="1" w:styleId="middle">
    <w:name w:val="middle"/>
    <w:basedOn w:val="Normal"/>
    <w:rsid w:val="0093670B"/>
    <w:pPr>
      <w:spacing w:before="100" w:beforeAutospacing="1" w:after="100" w:afterAutospacing="1" w:line="240" w:lineRule="auto"/>
    </w:pPr>
    <w:rPr>
      <w:rFonts w:ascii="Times New Roman" w:eastAsia="Times New Roman" w:hAnsi="Times New Roman"/>
      <w:sz w:val="24"/>
      <w:szCs w:val="24"/>
    </w:rPr>
  </w:style>
  <w:style w:type="paragraph" w:customStyle="1" w:styleId="last">
    <w:name w:val="last"/>
    <w:basedOn w:val="Normal"/>
    <w:rsid w:val="0093670B"/>
    <w:pPr>
      <w:spacing w:before="100" w:beforeAutospacing="1" w:after="100" w:afterAutospacing="1" w:line="240" w:lineRule="auto"/>
    </w:pPr>
    <w:rPr>
      <w:rFonts w:ascii="Times New Roman" w:eastAsia="Times New Roman" w:hAnsi="Times New Roman"/>
      <w:sz w:val="24"/>
      <w:szCs w:val="24"/>
    </w:rPr>
  </w:style>
  <w:style w:type="character" w:customStyle="1" w:styleId="article-accesstype">
    <w:name w:val="article-accesstype"/>
    <w:basedOn w:val="DefaultParagraphFont"/>
    <w:rsid w:val="0093670B"/>
  </w:style>
  <w:style w:type="character" w:customStyle="1" w:styleId="wi-clienttype">
    <w:name w:val="wi-clienttype"/>
    <w:basedOn w:val="DefaultParagraphFont"/>
    <w:rsid w:val="0093670B"/>
  </w:style>
  <w:style w:type="character" w:customStyle="1" w:styleId="wi-pub-date">
    <w:name w:val="wi-pub-date"/>
    <w:basedOn w:val="DefaultParagraphFont"/>
    <w:rsid w:val="0093670B"/>
  </w:style>
  <w:style w:type="character" w:customStyle="1" w:styleId="wi-fullname">
    <w:name w:val="wi-fullname"/>
    <w:basedOn w:val="DefaultParagraphFont"/>
    <w:rsid w:val="0093670B"/>
  </w:style>
  <w:style w:type="character" w:customStyle="1" w:styleId="al-author-delim">
    <w:name w:val="al-author-delim"/>
    <w:basedOn w:val="DefaultParagraphFont"/>
    <w:rsid w:val="0093670B"/>
  </w:style>
  <w:style w:type="character" w:customStyle="1" w:styleId="current-selection">
    <w:name w:val="current-selection"/>
    <w:basedOn w:val="DefaultParagraphFont"/>
    <w:rsid w:val="00936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007290">
      <w:bodyDiv w:val="1"/>
      <w:marLeft w:val="0"/>
      <w:marRight w:val="0"/>
      <w:marTop w:val="0"/>
      <w:marBottom w:val="0"/>
      <w:divBdr>
        <w:top w:val="none" w:sz="0" w:space="0" w:color="auto"/>
        <w:left w:val="none" w:sz="0" w:space="0" w:color="auto"/>
        <w:bottom w:val="none" w:sz="0" w:space="0" w:color="auto"/>
        <w:right w:val="none" w:sz="0" w:space="0" w:color="auto"/>
      </w:divBdr>
      <w:divsChild>
        <w:div w:id="1339429675">
          <w:marLeft w:val="0"/>
          <w:marRight w:val="0"/>
          <w:marTop w:val="0"/>
          <w:marBottom w:val="0"/>
          <w:divBdr>
            <w:top w:val="none" w:sz="0" w:space="0" w:color="auto"/>
            <w:left w:val="none" w:sz="0" w:space="0" w:color="auto"/>
            <w:bottom w:val="none" w:sz="0" w:space="0" w:color="auto"/>
            <w:right w:val="none" w:sz="0" w:space="0" w:color="auto"/>
          </w:divBdr>
          <w:divsChild>
            <w:div w:id="1471095432">
              <w:marLeft w:val="0"/>
              <w:marRight w:val="0"/>
              <w:marTop w:val="0"/>
              <w:marBottom w:val="0"/>
              <w:divBdr>
                <w:top w:val="none" w:sz="0" w:space="0" w:color="auto"/>
                <w:left w:val="none" w:sz="0" w:space="0" w:color="auto"/>
                <w:bottom w:val="none" w:sz="0" w:space="0" w:color="auto"/>
                <w:right w:val="none" w:sz="0" w:space="0" w:color="auto"/>
              </w:divBdr>
              <w:divsChild>
                <w:div w:id="354036420">
                  <w:marLeft w:val="0"/>
                  <w:marRight w:val="0"/>
                  <w:marTop w:val="0"/>
                  <w:marBottom w:val="0"/>
                  <w:divBdr>
                    <w:top w:val="none" w:sz="0" w:space="0" w:color="auto"/>
                    <w:left w:val="none" w:sz="0" w:space="0" w:color="auto"/>
                    <w:bottom w:val="none" w:sz="0" w:space="0" w:color="auto"/>
                    <w:right w:val="none" w:sz="0" w:space="0" w:color="auto"/>
                  </w:divBdr>
                </w:div>
                <w:div w:id="635573165">
                  <w:marLeft w:val="0"/>
                  <w:marRight w:val="0"/>
                  <w:marTop w:val="0"/>
                  <w:marBottom w:val="0"/>
                  <w:divBdr>
                    <w:top w:val="none" w:sz="0" w:space="0" w:color="auto"/>
                    <w:left w:val="none" w:sz="0" w:space="0" w:color="auto"/>
                    <w:bottom w:val="none" w:sz="0" w:space="0" w:color="auto"/>
                    <w:right w:val="none" w:sz="0" w:space="0" w:color="auto"/>
                  </w:divBdr>
                </w:div>
              </w:divsChild>
            </w:div>
            <w:div w:id="2015258450">
              <w:marLeft w:val="0"/>
              <w:marRight w:val="0"/>
              <w:marTop w:val="0"/>
              <w:marBottom w:val="0"/>
              <w:divBdr>
                <w:top w:val="none" w:sz="0" w:space="0" w:color="auto"/>
                <w:left w:val="none" w:sz="0" w:space="0" w:color="auto"/>
                <w:bottom w:val="none" w:sz="0" w:space="0" w:color="auto"/>
                <w:right w:val="none" w:sz="0" w:space="0" w:color="auto"/>
              </w:divBdr>
            </w:div>
          </w:divsChild>
        </w:div>
        <w:div w:id="1606881560">
          <w:marLeft w:val="0"/>
          <w:marRight w:val="0"/>
          <w:marTop w:val="0"/>
          <w:marBottom w:val="0"/>
          <w:divBdr>
            <w:top w:val="none" w:sz="0" w:space="0" w:color="auto"/>
            <w:left w:val="none" w:sz="0" w:space="0" w:color="auto"/>
            <w:bottom w:val="none" w:sz="0" w:space="0" w:color="auto"/>
            <w:right w:val="none" w:sz="0" w:space="0" w:color="auto"/>
          </w:divBdr>
          <w:divsChild>
            <w:div w:id="964194111">
              <w:marLeft w:val="0"/>
              <w:marRight w:val="0"/>
              <w:marTop w:val="0"/>
              <w:marBottom w:val="0"/>
              <w:divBdr>
                <w:top w:val="none" w:sz="0" w:space="0" w:color="auto"/>
                <w:left w:val="none" w:sz="0" w:space="0" w:color="auto"/>
                <w:bottom w:val="none" w:sz="0" w:space="0" w:color="auto"/>
                <w:right w:val="none" w:sz="0" w:space="0" w:color="auto"/>
              </w:divBdr>
              <w:divsChild>
                <w:div w:id="1073966413">
                  <w:marLeft w:val="0"/>
                  <w:marRight w:val="0"/>
                  <w:marTop w:val="0"/>
                  <w:marBottom w:val="0"/>
                  <w:divBdr>
                    <w:top w:val="none" w:sz="0" w:space="0" w:color="auto"/>
                    <w:left w:val="none" w:sz="0" w:space="0" w:color="auto"/>
                    <w:bottom w:val="none" w:sz="0" w:space="0" w:color="auto"/>
                    <w:right w:val="none" w:sz="0" w:space="0" w:color="auto"/>
                  </w:divBdr>
                  <w:divsChild>
                    <w:div w:id="194078318">
                      <w:marLeft w:val="0"/>
                      <w:marRight w:val="0"/>
                      <w:marTop w:val="0"/>
                      <w:marBottom w:val="0"/>
                      <w:divBdr>
                        <w:top w:val="none" w:sz="0" w:space="0" w:color="auto"/>
                        <w:left w:val="none" w:sz="0" w:space="0" w:color="auto"/>
                        <w:bottom w:val="none" w:sz="0" w:space="0" w:color="auto"/>
                        <w:right w:val="none" w:sz="0" w:space="0" w:color="auto"/>
                      </w:divBdr>
                      <w:divsChild>
                        <w:div w:id="1636523263">
                          <w:marLeft w:val="0"/>
                          <w:marRight w:val="0"/>
                          <w:marTop w:val="0"/>
                          <w:marBottom w:val="0"/>
                          <w:divBdr>
                            <w:top w:val="none" w:sz="0" w:space="0" w:color="auto"/>
                            <w:left w:val="none" w:sz="0" w:space="0" w:color="auto"/>
                            <w:bottom w:val="none" w:sz="0" w:space="0" w:color="auto"/>
                            <w:right w:val="none" w:sz="0" w:space="0" w:color="auto"/>
                          </w:divBdr>
                        </w:div>
                        <w:div w:id="1901284648">
                          <w:marLeft w:val="0"/>
                          <w:marRight w:val="0"/>
                          <w:marTop w:val="0"/>
                          <w:marBottom w:val="0"/>
                          <w:divBdr>
                            <w:top w:val="none" w:sz="0" w:space="0" w:color="auto"/>
                            <w:left w:val="none" w:sz="0" w:space="0" w:color="auto"/>
                            <w:bottom w:val="none" w:sz="0" w:space="0" w:color="auto"/>
                            <w:right w:val="none" w:sz="0" w:space="0" w:color="auto"/>
                          </w:divBdr>
                          <w:divsChild>
                            <w:div w:id="1052537003">
                              <w:marLeft w:val="0"/>
                              <w:marRight w:val="0"/>
                              <w:marTop w:val="0"/>
                              <w:marBottom w:val="0"/>
                              <w:divBdr>
                                <w:top w:val="none" w:sz="0" w:space="0" w:color="auto"/>
                                <w:left w:val="none" w:sz="0" w:space="0" w:color="auto"/>
                                <w:bottom w:val="none" w:sz="0" w:space="0" w:color="auto"/>
                                <w:right w:val="none" w:sz="0" w:space="0" w:color="auto"/>
                              </w:divBdr>
                            </w:div>
                            <w:div w:id="1845586501">
                              <w:marLeft w:val="0"/>
                              <w:marRight w:val="0"/>
                              <w:marTop w:val="0"/>
                              <w:marBottom w:val="0"/>
                              <w:divBdr>
                                <w:top w:val="none" w:sz="0" w:space="0" w:color="auto"/>
                                <w:left w:val="none" w:sz="0" w:space="0" w:color="auto"/>
                                <w:bottom w:val="none" w:sz="0" w:space="0" w:color="auto"/>
                                <w:right w:val="none" w:sz="0" w:space="0" w:color="auto"/>
                              </w:divBdr>
                              <w:divsChild>
                                <w:div w:id="209211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954579">
      <w:bodyDiv w:val="1"/>
      <w:marLeft w:val="0"/>
      <w:marRight w:val="0"/>
      <w:marTop w:val="0"/>
      <w:marBottom w:val="0"/>
      <w:divBdr>
        <w:top w:val="none" w:sz="0" w:space="0" w:color="auto"/>
        <w:left w:val="none" w:sz="0" w:space="0" w:color="auto"/>
        <w:bottom w:val="none" w:sz="0" w:space="0" w:color="auto"/>
        <w:right w:val="none" w:sz="0" w:space="0" w:color="auto"/>
      </w:divBdr>
      <w:divsChild>
        <w:div w:id="742991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hnologu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jhsss.com/files/Hamzeh-Moradi_6813z4a4.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researchgate.net/publication/263249037_Society_and_Discourse_How_Social_Contexts_Influence_Text_and_Talk" TargetMode="External"/><Relationship Id="rId4" Type="http://schemas.openxmlformats.org/officeDocument/2006/relationships/webSettings" Target="webSettings.xml"/><Relationship Id="rId9" Type="http://schemas.openxmlformats.org/officeDocument/2006/relationships/hyperlink" Target="http://psycnet.apa.org/doi/10.1016/S0042-6989(01)000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7211</Words>
  <Characters>41106</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BILINGUALISM AND THE PSYCHOLOGY OF COLORS</vt:lpstr>
    </vt:vector>
  </TitlesOfParts>
  <Company/>
  <LinksUpToDate>false</LinksUpToDate>
  <CharactersWithSpaces>48221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BILINGUALISM AND THE PSYCHOLOGY OF COLORS</dc:title>
  <dc:subject/>
  <dc:creator/>
  <cp:keywords/>
  <dc:description/>
  <cp:lastModifiedBy/>
  <cp:revision>1</cp:revision>
  <dcterms:created xsi:type="dcterms:W3CDTF">2018-10-09T10:18:00Z</dcterms:created>
  <dcterms:modified xsi:type="dcterms:W3CDTF">2019-09-07T04:36:00Z</dcterms:modified>
</cp:coreProperties>
</file>